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8DC04" w14:textId="420159BE" w:rsidR="0024366C" w:rsidRPr="00675063" w:rsidRDefault="0024366C" w:rsidP="0091364B">
      <w:pPr>
        <w:spacing w:after="120" w:line="240" w:lineRule="auto"/>
        <w:jc w:val="center"/>
        <w:rPr>
          <w:rFonts w:cstheme="minorHAnsi"/>
          <w:sz w:val="20"/>
          <w:szCs w:val="20"/>
        </w:rPr>
      </w:pPr>
    </w:p>
    <w:p w14:paraId="740D43A4" w14:textId="77777777" w:rsidR="0091364B" w:rsidRDefault="0091364B" w:rsidP="001758BD">
      <w:pPr>
        <w:spacing w:after="120" w:line="240" w:lineRule="auto"/>
        <w:rPr>
          <w:rFonts w:ascii="Gill Sans Nova" w:eastAsiaTheme="minorEastAsia" w:hAnsi="Gill Sans Nova"/>
          <w:smallCaps/>
          <w:color w:val="4472C4"/>
          <w:sz w:val="28"/>
          <w:szCs w:val="28"/>
        </w:rPr>
      </w:pPr>
    </w:p>
    <w:p w14:paraId="3FCAD13E" w14:textId="0CB7DCF0" w:rsidR="24D80BAF" w:rsidRPr="0091364B" w:rsidRDefault="24D80BAF" w:rsidP="0091364B">
      <w:pPr>
        <w:spacing w:after="120" w:line="240" w:lineRule="auto"/>
        <w:jc w:val="center"/>
        <w:rPr>
          <w:rFonts w:ascii="Gill Sans Nova" w:eastAsiaTheme="minorEastAsia" w:hAnsi="Gill Sans Nova"/>
          <w:smallCaps/>
          <w:color w:val="4472C4"/>
          <w:sz w:val="32"/>
          <w:szCs w:val="32"/>
        </w:rPr>
      </w:pPr>
      <w:r>
        <w:rPr>
          <w:rFonts w:ascii="Gill Sans Nova" w:hAnsi="Gill Sans Nova"/>
          <w:smallCaps/>
          <w:color w:val="4472C4"/>
          <w:sz w:val="32"/>
        </w:rPr>
        <w:t xml:space="preserve">Mission de l’OIM – </w:t>
      </w:r>
      <w:r w:rsidR="001758BD">
        <w:rPr>
          <w:rFonts w:ascii="Gill Sans Nova" w:hAnsi="Gill Sans Nova"/>
          <w:smallCaps/>
          <w:color w:val="4472C4"/>
          <w:sz w:val="32"/>
        </w:rPr>
        <w:t>République Démocratique Congo</w:t>
      </w:r>
    </w:p>
    <w:p w14:paraId="1798212B" w14:textId="4E05F7A3" w:rsidR="0024366C" w:rsidRPr="0091364B" w:rsidRDefault="00C529A8" w:rsidP="0091364B">
      <w:pPr>
        <w:spacing w:after="120" w:line="240" w:lineRule="auto"/>
        <w:jc w:val="center"/>
        <w:rPr>
          <w:rFonts w:ascii="Gill Sans Nova" w:eastAsia="Arial" w:hAnsi="Gill Sans Nova"/>
          <w:smallCaps/>
          <w:sz w:val="32"/>
          <w:szCs w:val="32"/>
        </w:rPr>
      </w:pPr>
      <w:r>
        <w:rPr>
          <w:rFonts w:ascii="Gill Sans Nova" w:hAnsi="Gill Sans Nova"/>
          <w:b/>
          <w:i/>
          <w:smallCaps/>
          <w:sz w:val="32"/>
        </w:rPr>
        <w:t xml:space="preserve">Appel </w:t>
      </w:r>
      <w:r w:rsidR="0082599D" w:rsidRPr="0082599D">
        <w:rPr>
          <w:rFonts w:ascii="Gill Sans Nova" w:hAnsi="Gill Sans Nova"/>
          <w:b/>
          <w:i/>
          <w:smallCaps/>
          <w:sz w:val="32"/>
        </w:rPr>
        <w:t>à</w:t>
      </w:r>
      <w:r>
        <w:rPr>
          <w:rFonts w:ascii="Gill Sans Nova" w:hAnsi="Gill Sans Nova"/>
          <w:b/>
          <w:i/>
          <w:smallCaps/>
          <w:sz w:val="32"/>
        </w:rPr>
        <w:t xml:space="preserve"> manifestation d</w:t>
      </w:r>
      <w:r w:rsidR="00CE2DF1">
        <w:rPr>
          <w:rFonts w:ascii="Gill Sans Nova" w:hAnsi="Gill Sans Nova"/>
          <w:b/>
          <w:i/>
          <w:smallCaps/>
          <w:sz w:val="32"/>
        </w:rPr>
        <w:t>’</w:t>
      </w:r>
      <w:r>
        <w:rPr>
          <w:rFonts w:ascii="Gill Sans Nova" w:hAnsi="Gill Sans Nova"/>
          <w:b/>
          <w:i/>
          <w:smallCaps/>
          <w:sz w:val="32"/>
        </w:rPr>
        <w:t>intérêt</w:t>
      </w:r>
    </w:p>
    <w:p w14:paraId="6FCFF086" w14:textId="77777777" w:rsidR="00884535" w:rsidRPr="007942F6" w:rsidRDefault="00884535" w:rsidP="00884535">
      <w:pPr>
        <w:pStyle w:val="Default"/>
        <w:rPr>
          <w:lang w:val="fr-FR"/>
        </w:rPr>
      </w:pPr>
    </w:p>
    <w:p w14:paraId="174B2677" w14:textId="7448963B" w:rsidR="00884535" w:rsidRPr="00884535" w:rsidRDefault="00884535" w:rsidP="00884535">
      <w:pPr>
        <w:pStyle w:val="Default"/>
        <w:jc w:val="both"/>
        <w:rPr>
          <w:rFonts w:asciiTheme="minorHAnsi" w:hAnsiTheme="minorHAnsi" w:cstheme="minorBidi"/>
          <w:i/>
          <w:color w:val="4F81BD" w:themeColor="accent1"/>
          <w:sz w:val="22"/>
          <w:szCs w:val="22"/>
          <w:lang w:val="fr-FR"/>
        </w:rPr>
      </w:pPr>
      <w:r w:rsidRPr="00884535">
        <w:rPr>
          <w:rFonts w:asciiTheme="minorHAnsi" w:hAnsiTheme="minorHAnsi" w:cstheme="minorBidi"/>
          <w:i/>
          <w:color w:val="4F81BD" w:themeColor="accent1"/>
          <w:sz w:val="22"/>
          <w:szCs w:val="22"/>
          <w:lang w:val="fr-FR"/>
        </w:rPr>
        <w:t xml:space="preserve">L’Organisation Internationale pour les Migrations (ci-après dénommée l’OIM) </w:t>
      </w:r>
      <w:r w:rsidR="001D6EC5">
        <w:rPr>
          <w:rFonts w:asciiTheme="minorHAnsi" w:hAnsiTheme="minorHAnsi" w:cstheme="minorBidi"/>
          <w:i/>
          <w:color w:val="4F81BD" w:themeColor="accent1"/>
          <w:sz w:val="22"/>
          <w:szCs w:val="22"/>
          <w:lang w:val="fr-FR"/>
        </w:rPr>
        <w:t xml:space="preserve">en République Démocratique du Congo </w:t>
      </w:r>
      <w:r w:rsidRPr="00884535">
        <w:rPr>
          <w:rFonts w:asciiTheme="minorHAnsi" w:hAnsiTheme="minorHAnsi" w:cstheme="minorBidi"/>
          <w:i/>
          <w:color w:val="4F81BD" w:themeColor="accent1"/>
          <w:sz w:val="22"/>
          <w:szCs w:val="22"/>
          <w:lang w:val="fr-FR"/>
        </w:rPr>
        <w:t xml:space="preserve">se propose de préqualifier des partenaires de mise en </w:t>
      </w:r>
      <w:r w:rsidR="001D6EC5" w:rsidRPr="00884535">
        <w:rPr>
          <w:rFonts w:asciiTheme="minorHAnsi" w:hAnsiTheme="minorHAnsi" w:cstheme="minorBidi"/>
          <w:i/>
          <w:color w:val="4F81BD" w:themeColor="accent1"/>
          <w:sz w:val="22"/>
          <w:szCs w:val="22"/>
          <w:lang w:val="fr-FR"/>
        </w:rPr>
        <w:t>œuvre</w:t>
      </w:r>
      <w:r w:rsidRPr="00884535">
        <w:rPr>
          <w:rFonts w:asciiTheme="minorHAnsi" w:hAnsiTheme="minorHAnsi" w:cstheme="minorBidi"/>
          <w:i/>
          <w:color w:val="4F81BD" w:themeColor="accent1"/>
          <w:sz w:val="22"/>
          <w:szCs w:val="22"/>
          <w:lang w:val="fr-FR"/>
        </w:rPr>
        <w:t xml:space="preserve"> pour </w:t>
      </w:r>
      <w:r w:rsidR="007942F6">
        <w:rPr>
          <w:rFonts w:asciiTheme="minorHAnsi" w:hAnsiTheme="minorHAnsi" w:cstheme="minorBidi"/>
          <w:i/>
          <w:color w:val="4F81BD" w:themeColor="accent1"/>
          <w:sz w:val="22"/>
          <w:szCs w:val="22"/>
          <w:lang w:val="fr-FR"/>
        </w:rPr>
        <w:t>l</w:t>
      </w:r>
      <w:r w:rsidR="00716266">
        <w:rPr>
          <w:rFonts w:asciiTheme="minorHAnsi" w:hAnsiTheme="minorHAnsi" w:cstheme="minorBidi"/>
          <w:i/>
          <w:color w:val="4F81BD" w:themeColor="accent1"/>
          <w:sz w:val="22"/>
          <w:szCs w:val="22"/>
          <w:lang w:val="fr-FR"/>
        </w:rPr>
        <w:t>es activités de</w:t>
      </w:r>
      <w:r w:rsidR="007942F6">
        <w:rPr>
          <w:rFonts w:asciiTheme="minorHAnsi" w:hAnsiTheme="minorHAnsi" w:cstheme="minorBidi"/>
          <w:i/>
          <w:color w:val="4F81BD" w:themeColor="accent1"/>
          <w:sz w:val="22"/>
          <w:szCs w:val="22"/>
          <w:lang w:val="fr-FR"/>
        </w:rPr>
        <w:t xml:space="preserve"> gouvernance sécuritaire inclusive </w:t>
      </w:r>
      <w:r w:rsidR="00716266">
        <w:rPr>
          <w:rFonts w:asciiTheme="minorHAnsi" w:hAnsiTheme="minorHAnsi" w:cstheme="minorBidi"/>
          <w:i/>
          <w:color w:val="4F81BD" w:themeColor="accent1"/>
          <w:sz w:val="22"/>
          <w:szCs w:val="22"/>
          <w:lang w:val="fr-FR"/>
        </w:rPr>
        <w:t>au niveau communautaire dans</w:t>
      </w:r>
      <w:r w:rsidRPr="00884535">
        <w:rPr>
          <w:rFonts w:asciiTheme="minorHAnsi" w:hAnsiTheme="minorHAnsi" w:cstheme="minorBidi"/>
          <w:i/>
          <w:color w:val="4F81BD" w:themeColor="accent1"/>
          <w:sz w:val="22"/>
          <w:szCs w:val="22"/>
          <w:lang w:val="fr-FR"/>
        </w:rPr>
        <w:t xml:space="preserve"> les</w:t>
      </w:r>
      <w:r w:rsidR="007942F6">
        <w:rPr>
          <w:rFonts w:asciiTheme="minorHAnsi" w:hAnsiTheme="minorHAnsi" w:cstheme="minorBidi"/>
          <w:i/>
          <w:color w:val="4F81BD" w:themeColor="accent1"/>
          <w:sz w:val="22"/>
          <w:szCs w:val="22"/>
          <w:lang w:val="fr-FR"/>
        </w:rPr>
        <w:t xml:space="preserve"> villes et territoires de Kalemie, Nyunzu et Kongolo, province du Tanganyika.</w:t>
      </w:r>
      <w:r w:rsidRPr="00884535">
        <w:rPr>
          <w:rFonts w:asciiTheme="minorHAnsi" w:hAnsiTheme="minorHAnsi" w:cstheme="minorBidi"/>
          <w:i/>
          <w:color w:val="4F81BD" w:themeColor="accent1"/>
          <w:sz w:val="22"/>
          <w:szCs w:val="22"/>
          <w:lang w:val="fr-FR"/>
        </w:rPr>
        <w:t xml:space="preserve"> </w:t>
      </w:r>
    </w:p>
    <w:p w14:paraId="29FB5B95" w14:textId="43F23DA5" w:rsidR="00884535" w:rsidRPr="00884535" w:rsidRDefault="00884535" w:rsidP="00884535">
      <w:pPr>
        <w:pStyle w:val="Default"/>
        <w:jc w:val="both"/>
        <w:rPr>
          <w:rFonts w:asciiTheme="minorHAnsi" w:hAnsiTheme="minorHAnsi" w:cstheme="minorBidi"/>
          <w:i/>
          <w:color w:val="4F81BD" w:themeColor="accent1"/>
          <w:sz w:val="22"/>
          <w:szCs w:val="22"/>
          <w:lang w:val="fr-FR"/>
        </w:rPr>
      </w:pPr>
      <w:r w:rsidRPr="00884535">
        <w:rPr>
          <w:rFonts w:asciiTheme="minorHAnsi" w:hAnsiTheme="minorHAnsi" w:cstheme="minorBidi"/>
          <w:i/>
          <w:color w:val="4F81BD" w:themeColor="accent1"/>
          <w:sz w:val="22"/>
          <w:szCs w:val="22"/>
          <w:lang w:val="fr-FR"/>
        </w:rPr>
        <w:t xml:space="preserve"> </w:t>
      </w:r>
    </w:p>
    <w:p w14:paraId="2AF53999" w14:textId="0FE2133F" w:rsidR="00884535" w:rsidRDefault="00884535" w:rsidP="00884535">
      <w:pPr>
        <w:pStyle w:val="Default"/>
        <w:jc w:val="both"/>
        <w:rPr>
          <w:rFonts w:asciiTheme="minorHAnsi" w:hAnsiTheme="minorHAnsi" w:cstheme="minorBidi"/>
          <w:i/>
          <w:color w:val="4F81BD" w:themeColor="accent1"/>
          <w:sz w:val="22"/>
          <w:szCs w:val="22"/>
          <w:lang w:val="fr-FR"/>
        </w:rPr>
      </w:pPr>
      <w:r w:rsidRPr="00884535">
        <w:rPr>
          <w:rFonts w:asciiTheme="minorHAnsi" w:hAnsiTheme="minorHAnsi" w:cstheme="minorBidi"/>
          <w:i/>
          <w:color w:val="4F81BD" w:themeColor="accent1"/>
          <w:sz w:val="22"/>
          <w:szCs w:val="22"/>
          <w:lang w:val="fr-FR"/>
        </w:rPr>
        <w:t>L’OIM invite les Organisation</w:t>
      </w:r>
      <w:r w:rsidR="007942F6">
        <w:rPr>
          <w:rFonts w:asciiTheme="minorHAnsi" w:hAnsiTheme="minorHAnsi" w:cstheme="minorBidi"/>
          <w:i/>
          <w:color w:val="4F81BD" w:themeColor="accent1"/>
          <w:sz w:val="22"/>
          <w:szCs w:val="22"/>
          <w:lang w:val="fr-FR"/>
        </w:rPr>
        <w:t>s</w:t>
      </w:r>
      <w:r w:rsidRPr="00884535">
        <w:rPr>
          <w:rFonts w:asciiTheme="minorHAnsi" w:hAnsiTheme="minorHAnsi" w:cstheme="minorBidi"/>
          <w:i/>
          <w:color w:val="4F81BD" w:themeColor="accent1"/>
          <w:sz w:val="22"/>
          <w:szCs w:val="22"/>
          <w:lang w:val="fr-FR"/>
        </w:rPr>
        <w:t xml:space="preserve"> non gouvernementales nationales</w:t>
      </w:r>
      <w:r w:rsidR="001D6EC5">
        <w:rPr>
          <w:rFonts w:asciiTheme="minorHAnsi" w:hAnsiTheme="minorHAnsi" w:cstheme="minorBidi"/>
          <w:i/>
          <w:color w:val="4F81BD" w:themeColor="accent1"/>
          <w:sz w:val="22"/>
          <w:szCs w:val="22"/>
          <w:lang w:val="fr-FR"/>
        </w:rPr>
        <w:t xml:space="preserve"> et locales</w:t>
      </w:r>
      <w:r w:rsidRPr="00884535">
        <w:rPr>
          <w:rFonts w:asciiTheme="minorHAnsi" w:hAnsiTheme="minorHAnsi" w:cstheme="minorBidi"/>
          <w:i/>
          <w:color w:val="4F81BD" w:themeColor="accent1"/>
          <w:sz w:val="22"/>
          <w:szCs w:val="22"/>
          <w:lang w:val="fr-FR"/>
        </w:rPr>
        <w:t xml:space="preserve"> à soumettre leurs manifestations d’intérêt pour la mise en </w:t>
      </w:r>
      <w:r w:rsidR="001D6EC5" w:rsidRPr="00884535">
        <w:rPr>
          <w:rFonts w:asciiTheme="minorHAnsi" w:hAnsiTheme="minorHAnsi" w:cstheme="minorBidi"/>
          <w:i/>
          <w:color w:val="4F81BD" w:themeColor="accent1"/>
          <w:sz w:val="22"/>
          <w:szCs w:val="22"/>
          <w:lang w:val="fr-FR"/>
        </w:rPr>
        <w:t>œuvre</w:t>
      </w:r>
      <w:r w:rsidRPr="00884535">
        <w:rPr>
          <w:rFonts w:asciiTheme="minorHAnsi" w:hAnsiTheme="minorHAnsi" w:cstheme="minorBidi"/>
          <w:i/>
          <w:color w:val="4F81BD" w:themeColor="accent1"/>
          <w:sz w:val="22"/>
          <w:szCs w:val="22"/>
          <w:lang w:val="fr-FR"/>
        </w:rPr>
        <w:t xml:space="preserve"> des activités afférentes à ce projet. Des informations complémentaires sur le</w:t>
      </w:r>
      <w:r w:rsidR="001D6EC5">
        <w:rPr>
          <w:rFonts w:asciiTheme="minorHAnsi" w:hAnsiTheme="minorHAnsi" w:cstheme="minorBidi"/>
          <w:i/>
          <w:color w:val="4F81BD" w:themeColor="accent1"/>
          <w:sz w:val="22"/>
          <w:szCs w:val="22"/>
          <w:lang w:val="fr-FR"/>
        </w:rPr>
        <w:t>s activités</w:t>
      </w:r>
      <w:r w:rsidRPr="00884535">
        <w:rPr>
          <w:rFonts w:asciiTheme="minorHAnsi" w:hAnsiTheme="minorHAnsi" w:cstheme="minorBidi"/>
          <w:i/>
          <w:color w:val="4F81BD" w:themeColor="accent1"/>
          <w:sz w:val="22"/>
          <w:szCs w:val="22"/>
          <w:lang w:val="fr-FR"/>
        </w:rPr>
        <w:t xml:space="preserve"> sont fournies dans les Termes de Références (TDR) joint au courriel électronique de publication de l’appel (ANNEXE </w:t>
      </w:r>
      <w:r w:rsidR="0059773B">
        <w:rPr>
          <w:rFonts w:asciiTheme="minorHAnsi" w:hAnsiTheme="minorHAnsi" w:cstheme="minorBidi"/>
          <w:i/>
          <w:color w:val="4F81BD" w:themeColor="accent1"/>
          <w:sz w:val="22"/>
          <w:szCs w:val="22"/>
          <w:lang w:val="fr-FR"/>
        </w:rPr>
        <w:t>A</w:t>
      </w:r>
      <w:r w:rsidRPr="00884535">
        <w:rPr>
          <w:rFonts w:asciiTheme="minorHAnsi" w:hAnsiTheme="minorHAnsi" w:cstheme="minorBidi"/>
          <w:i/>
          <w:color w:val="4F81BD" w:themeColor="accent1"/>
          <w:sz w:val="22"/>
          <w:szCs w:val="22"/>
          <w:lang w:val="fr-FR"/>
        </w:rPr>
        <w:t xml:space="preserve">). </w:t>
      </w:r>
    </w:p>
    <w:p w14:paraId="6A06816C" w14:textId="77777777" w:rsidR="001D6EC5" w:rsidRPr="00884535" w:rsidRDefault="001D6EC5" w:rsidP="00884535">
      <w:pPr>
        <w:pStyle w:val="Default"/>
        <w:jc w:val="both"/>
        <w:rPr>
          <w:rFonts w:asciiTheme="minorHAnsi" w:hAnsiTheme="minorHAnsi" w:cstheme="minorBidi"/>
          <w:i/>
          <w:color w:val="4F81BD" w:themeColor="accent1"/>
          <w:sz w:val="22"/>
          <w:szCs w:val="22"/>
          <w:lang w:val="fr-FR"/>
        </w:rPr>
      </w:pPr>
    </w:p>
    <w:p w14:paraId="3EE494B0" w14:textId="46C04AEC" w:rsidR="001D6EC5" w:rsidRDefault="00884535" w:rsidP="001D6EC5">
      <w:pPr>
        <w:spacing w:after="120" w:line="240" w:lineRule="auto"/>
        <w:jc w:val="both"/>
        <w:rPr>
          <w:i/>
          <w:color w:val="4F81BD" w:themeColor="accent1"/>
        </w:rPr>
      </w:pPr>
      <w:r w:rsidRPr="00884535">
        <w:rPr>
          <w:i/>
          <w:color w:val="4F81BD" w:themeColor="accent1"/>
        </w:rPr>
        <w:t>L’appel à manifestation d’intérêt a pour but de préqualifier les partenaires ayant les capacités à mettre en place les activités demandées. Les soumissionnaires préqualifiés (sur la base de l’ANNEXE</w:t>
      </w:r>
      <w:r w:rsidR="0059773B">
        <w:rPr>
          <w:i/>
          <w:color w:val="4F81BD" w:themeColor="accent1"/>
        </w:rPr>
        <w:t xml:space="preserve"> C</w:t>
      </w:r>
      <w:r w:rsidRPr="00884535">
        <w:rPr>
          <w:i/>
          <w:color w:val="4F81BD" w:themeColor="accent1"/>
        </w:rPr>
        <w:t xml:space="preserve">) seront évalués sur la pertinence et la qualité documents programmatiques tels que la proposition narrative, la proposition budgétaire et autres documents (ANNEXE </w:t>
      </w:r>
      <w:r w:rsidR="0059773B">
        <w:rPr>
          <w:i/>
          <w:color w:val="4F81BD" w:themeColor="accent1"/>
        </w:rPr>
        <w:t xml:space="preserve">B, </w:t>
      </w:r>
      <w:r w:rsidRPr="00884535">
        <w:rPr>
          <w:i/>
          <w:color w:val="4F81BD" w:themeColor="accent1"/>
        </w:rPr>
        <w:t xml:space="preserve">D et </w:t>
      </w:r>
      <w:r w:rsidR="0059773B">
        <w:rPr>
          <w:i/>
          <w:color w:val="4F81BD" w:themeColor="accent1"/>
        </w:rPr>
        <w:t>E</w:t>
      </w:r>
      <w:r w:rsidRPr="00884535">
        <w:rPr>
          <w:i/>
          <w:color w:val="4F81BD" w:themeColor="accent1"/>
        </w:rPr>
        <w:t xml:space="preserve">) pour les activités demandées suivant le Termes de Référence (ANNEXE </w:t>
      </w:r>
      <w:r w:rsidR="0059773B">
        <w:rPr>
          <w:i/>
          <w:color w:val="4F81BD" w:themeColor="accent1"/>
        </w:rPr>
        <w:t>A</w:t>
      </w:r>
      <w:r w:rsidRPr="00884535">
        <w:rPr>
          <w:i/>
          <w:color w:val="4F81BD" w:themeColor="accent1"/>
        </w:rPr>
        <w:t>).</w:t>
      </w:r>
    </w:p>
    <w:p w14:paraId="74740D31" w14:textId="77777777" w:rsidR="001D6EC5" w:rsidRPr="0059773B" w:rsidRDefault="001D6EC5" w:rsidP="001D6EC5">
      <w:pPr>
        <w:pStyle w:val="Default"/>
        <w:rPr>
          <w:lang w:val="fr-FR"/>
        </w:rPr>
      </w:pPr>
    </w:p>
    <w:p w14:paraId="595D4FCF" w14:textId="232B0A1D" w:rsidR="001D6EC5" w:rsidRPr="001D6EC5" w:rsidRDefault="001D6EC5" w:rsidP="001D6EC5">
      <w:pPr>
        <w:spacing w:after="120" w:line="240" w:lineRule="auto"/>
        <w:jc w:val="both"/>
        <w:rPr>
          <w:b/>
          <w:bCs/>
          <w:i/>
          <w:color w:val="4F81BD" w:themeColor="accent1"/>
        </w:rPr>
      </w:pPr>
      <w:r w:rsidRPr="001D6EC5">
        <w:rPr>
          <w:b/>
          <w:bCs/>
          <w:i/>
          <w:color w:val="4F81BD" w:themeColor="accent1"/>
        </w:rPr>
        <w:t xml:space="preserve"> L’étape de la préqualification n’aboutit pas à une contractualisation avec le soumissionnaire.</w:t>
      </w:r>
    </w:p>
    <w:p w14:paraId="6631C2CA" w14:textId="77777777" w:rsidR="00884535" w:rsidRPr="00D00051" w:rsidRDefault="00884535" w:rsidP="0091364B">
      <w:pPr>
        <w:spacing w:after="120" w:line="240" w:lineRule="auto"/>
        <w:rPr>
          <w:rFonts w:cstheme="minorHAnsi"/>
        </w:rPr>
      </w:pPr>
    </w:p>
    <w:p w14:paraId="584D5B89" w14:textId="77777777" w:rsidR="0024366C" w:rsidRPr="00D00051" w:rsidRDefault="00C529A8" w:rsidP="00846B44">
      <w:pPr>
        <w:tabs>
          <w:tab w:val="left" w:pos="840"/>
        </w:tabs>
        <w:spacing w:after="120" w:line="240" w:lineRule="auto"/>
        <w:ind w:left="993"/>
        <w:rPr>
          <w:rFonts w:eastAsia="Arial" w:cstheme="minorHAnsi"/>
        </w:rPr>
      </w:pPr>
      <w:r>
        <w:t>1</w:t>
      </w:r>
      <w:r>
        <w:tab/>
      </w:r>
      <w:r>
        <w:rPr>
          <w:b/>
          <w:i/>
        </w:rPr>
        <w:t>Calendrier</w:t>
      </w:r>
    </w:p>
    <w:tbl>
      <w:tblPr>
        <w:tblW w:w="8134" w:type="dxa"/>
        <w:tblInd w:w="1886" w:type="dxa"/>
        <w:tblLayout w:type="fixed"/>
        <w:tblCellMar>
          <w:left w:w="0" w:type="dxa"/>
          <w:right w:w="0" w:type="dxa"/>
        </w:tblCellMar>
        <w:tblLook w:val="01E0" w:firstRow="1" w:lastRow="1" w:firstColumn="1" w:lastColumn="1" w:noHBand="0" w:noVBand="0"/>
      </w:tblPr>
      <w:tblGrid>
        <w:gridCol w:w="4590"/>
        <w:gridCol w:w="3544"/>
      </w:tblGrid>
      <w:tr w:rsidR="00D00051" w:rsidRPr="00D00051" w14:paraId="339E3C07" w14:textId="77777777" w:rsidTr="00846B44">
        <w:trPr>
          <w:trHeight w:hRule="exact" w:val="338"/>
        </w:trPr>
        <w:tc>
          <w:tcPr>
            <w:tcW w:w="45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8A8A8"/>
          </w:tcPr>
          <w:p w14:paraId="6B5E879D" w14:textId="624FBE29" w:rsidR="00D00051" w:rsidRPr="00D00051" w:rsidRDefault="00D00051" w:rsidP="00846B44">
            <w:pPr>
              <w:spacing w:after="120" w:line="240" w:lineRule="auto"/>
              <w:ind w:left="191"/>
              <w:rPr>
                <w:rFonts w:eastAsia="Arial" w:cstheme="minorHAnsi"/>
                <w:color w:val="FFFFFF"/>
              </w:rPr>
            </w:pPr>
            <w:r>
              <w:rPr>
                <w:color w:val="FFFFFF"/>
              </w:rPr>
              <w:t>Numéro de l’appel à manifestation d</w:t>
            </w:r>
            <w:r w:rsidR="00CE2DF1">
              <w:rPr>
                <w:color w:val="FFFFFF"/>
              </w:rPr>
              <w:t>’</w:t>
            </w:r>
            <w:r>
              <w:rPr>
                <w:color w:val="FFFFFF"/>
              </w:rPr>
              <w:t>intérêt</w:t>
            </w: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49D288" w14:textId="3AC7E39C" w:rsidR="00F0516B" w:rsidRPr="00F0516B" w:rsidRDefault="00F0516B" w:rsidP="00F0516B">
            <w:pPr>
              <w:spacing w:after="120" w:line="240" w:lineRule="auto"/>
              <w:ind w:left="993"/>
              <w:rPr>
                <w:rFonts w:eastAsia="Arial" w:cstheme="minorHAnsi"/>
              </w:rPr>
            </w:pPr>
            <w:r w:rsidRPr="00F0516B">
              <w:rPr>
                <w:rFonts w:eastAsia="Arial" w:cstheme="minorHAnsi"/>
              </w:rPr>
              <w:t>CD42000005</w:t>
            </w:r>
            <w:r>
              <w:rPr>
                <w:rFonts w:eastAsia="Arial" w:cstheme="minorHAnsi"/>
              </w:rPr>
              <w:t>647</w:t>
            </w:r>
          </w:p>
          <w:p w14:paraId="2485947D" w14:textId="2F1E962E" w:rsidR="00D00051" w:rsidRPr="00D00051" w:rsidRDefault="00F0516B" w:rsidP="00F0516B">
            <w:pPr>
              <w:spacing w:after="120" w:line="240" w:lineRule="auto"/>
              <w:ind w:left="993"/>
              <w:rPr>
                <w:rFonts w:eastAsia="Arial" w:cstheme="minorHAnsi"/>
              </w:rPr>
            </w:pPr>
            <w:r w:rsidRPr="00F0516B">
              <w:rPr>
                <w:rFonts w:eastAsia="Arial" w:cstheme="minorHAnsi"/>
              </w:rPr>
              <w:t>647</w:t>
            </w:r>
          </w:p>
        </w:tc>
      </w:tr>
      <w:tr w:rsidR="0024366C" w:rsidRPr="00D00051" w14:paraId="3DFC9E05" w14:textId="77777777" w:rsidTr="00846B44">
        <w:trPr>
          <w:trHeight w:hRule="exact" w:val="338"/>
        </w:trPr>
        <w:tc>
          <w:tcPr>
            <w:tcW w:w="45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8A8A8"/>
          </w:tcPr>
          <w:p w14:paraId="3FAA2CF3" w14:textId="2A830293" w:rsidR="0024366C" w:rsidRPr="00D00051" w:rsidRDefault="00CB66D2" w:rsidP="00846B44">
            <w:pPr>
              <w:spacing w:after="120" w:line="240" w:lineRule="auto"/>
              <w:ind w:left="191"/>
              <w:rPr>
                <w:rFonts w:eastAsia="Arial" w:cstheme="minorHAnsi"/>
              </w:rPr>
            </w:pPr>
            <w:r>
              <w:rPr>
                <w:color w:val="FFFFFF"/>
              </w:rPr>
              <w:t>Date de publication</w:t>
            </w: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4B862205" w:rsidR="0024366C" w:rsidRPr="00D00051" w:rsidRDefault="009E62F3" w:rsidP="00846B44">
            <w:pPr>
              <w:spacing w:after="120" w:line="240" w:lineRule="auto"/>
              <w:ind w:left="993"/>
              <w:rPr>
                <w:rFonts w:eastAsia="Arial" w:cstheme="minorHAnsi"/>
              </w:rPr>
            </w:pPr>
            <w:r>
              <w:rPr>
                <w:rFonts w:eastAsia="Arial" w:cstheme="minorHAnsi"/>
                <w:lang w:val="fr-CD"/>
              </w:rPr>
              <w:t>07 juillet</w:t>
            </w:r>
            <w:r w:rsidR="0004151B">
              <w:rPr>
                <w:rFonts w:eastAsia="Arial" w:cstheme="minorHAnsi"/>
              </w:rPr>
              <w:t xml:space="preserve"> 202</w:t>
            </w:r>
            <w:r w:rsidR="00D561EE">
              <w:rPr>
                <w:rFonts w:eastAsia="Arial" w:cstheme="minorHAnsi"/>
              </w:rPr>
              <w:t>6</w:t>
            </w:r>
          </w:p>
        </w:tc>
      </w:tr>
      <w:tr w:rsidR="0024366C" w:rsidRPr="00D00051" w14:paraId="04C50E9A" w14:textId="77777777" w:rsidTr="00846B44">
        <w:trPr>
          <w:trHeight w:hRule="exact" w:val="338"/>
        </w:trPr>
        <w:tc>
          <w:tcPr>
            <w:tcW w:w="45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8A8A8"/>
          </w:tcPr>
          <w:p w14:paraId="1F4705F4" w14:textId="7F1649BE" w:rsidR="0024366C" w:rsidRPr="00D00051" w:rsidRDefault="00C529A8" w:rsidP="00846B44">
            <w:pPr>
              <w:spacing w:after="120" w:line="240" w:lineRule="auto"/>
              <w:ind w:left="191"/>
              <w:rPr>
                <w:rFonts w:eastAsia="Arial" w:cstheme="minorHAnsi"/>
              </w:rPr>
            </w:pPr>
            <w:r>
              <w:rPr>
                <w:color w:val="FFFFFF"/>
              </w:rPr>
              <w:t xml:space="preserve">Date limite de demande </w:t>
            </w:r>
            <w:r w:rsidR="00277F80">
              <w:rPr>
                <w:color w:val="FFFFFF"/>
              </w:rPr>
              <w:t>d’éclaircissements</w:t>
            </w: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BC16D8" w14:textId="30716FC4" w:rsidR="0024366C" w:rsidRPr="00D00051" w:rsidRDefault="00C1568C" w:rsidP="00846B44">
            <w:pPr>
              <w:spacing w:after="120" w:line="240" w:lineRule="auto"/>
              <w:ind w:left="993"/>
              <w:rPr>
                <w:rFonts w:eastAsia="Arial" w:cstheme="minorHAnsi"/>
              </w:rPr>
            </w:pPr>
            <w:r>
              <w:rPr>
                <w:rFonts w:eastAsia="Arial" w:cstheme="minorHAnsi"/>
              </w:rPr>
              <w:t>17</w:t>
            </w:r>
            <w:r w:rsidR="00113CFF">
              <w:rPr>
                <w:rFonts w:eastAsia="Arial" w:cstheme="minorHAnsi"/>
              </w:rPr>
              <w:t xml:space="preserve"> juillet</w:t>
            </w:r>
            <w:r w:rsidR="007942F6">
              <w:rPr>
                <w:rFonts w:eastAsia="Arial" w:cstheme="minorHAnsi"/>
              </w:rPr>
              <w:t xml:space="preserve"> 202</w:t>
            </w:r>
            <w:r w:rsidR="00113CFF">
              <w:rPr>
                <w:rFonts w:eastAsia="Arial" w:cstheme="minorHAnsi"/>
              </w:rPr>
              <w:t>6</w:t>
            </w:r>
          </w:p>
        </w:tc>
      </w:tr>
      <w:tr w:rsidR="0024366C" w:rsidRPr="00D00051" w14:paraId="27061400" w14:textId="77777777" w:rsidTr="00846B44">
        <w:trPr>
          <w:trHeight w:hRule="exact" w:val="338"/>
        </w:trPr>
        <w:tc>
          <w:tcPr>
            <w:tcW w:w="45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8A8A8"/>
          </w:tcPr>
          <w:p w14:paraId="16CDCAEB" w14:textId="77777777" w:rsidR="0024366C" w:rsidRPr="00D00051" w:rsidRDefault="00C529A8" w:rsidP="00846B44">
            <w:pPr>
              <w:spacing w:after="120" w:line="240" w:lineRule="auto"/>
              <w:ind w:left="191"/>
              <w:rPr>
                <w:rFonts w:eastAsia="Arial" w:cstheme="minorHAnsi"/>
              </w:rPr>
            </w:pPr>
            <w:r>
              <w:rPr>
                <w:color w:val="FFFFFF"/>
              </w:rPr>
              <w:t>Date limite de soumission</w:t>
            </w: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EE60D7" w14:textId="579EEB01" w:rsidR="0024366C" w:rsidRPr="007942F6" w:rsidRDefault="00113CFF" w:rsidP="00846B44">
            <w:pPr>
              <w:spacing w:after="120" w:line="240" w:lineRule="auto"/>
              <w:ind w:left="993"/>
              <w:rPr>
                <w:rFonts w:eastAsia="Arial" w:cstheme="minorHAnsi"/>
              </w:rPr>
            </w:pPr>
            <w:r>
              <w:t>2</w:t>
            </w:r>
            <w:r w:rsidR="00C1568C">
              <w:t>8</w:t>
            </w:r>
            <w:r w:rsidR="007942F6" w:rsidRPr="007942F6">
              <w:t xml:space="preserve"> </w:t>
            </w:r>
            <w:r>
              <w:t>juillet</w:t>
            </w:r>
            <w:r w:rsidR="007942F6" w:rsidRPr="007942F6">
              <w:t xml:space="preserve"> 202</w:t>
            </w:r>
            <w:r>
              <w:t>6</w:t>
            </w:r>
          </w:p>
        </w:tc>
      </w:tr>
      <w:tr w:rsidR="0024366C" w:rsidRPr="00D00051" w14:paraId="52E59E6E" w14:textId="77777777" w:rsidTr="00846B44">
        <w:trPr>
          <w:trHeight w:hRule="exact" w:val="338"/>
        </w:trPr>
        <w:tc>
          <w:tcPr>
            <w:tcW w:w="45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8A8A8"/>
          </w:tcPr>
          <w:p w14:paraId="2F3A17D9" w14:textId="6806C530" w:rsidR="0024366C" w:rsidRPr="00D00051" w:rsidRDefault="00277F80" w:rsidP="00846B44">
            <w:pPr>
              <w:tabs>
                <w:tab w:val="center" w:pos="2713"/>
              </w:tabs>
              <w:spacing w:after="120" w:line="240" w:lineRule="auto"/>
              <w:ind w:left="191"/>
              <w:rPr>
                <w:rFonts w:eastAsia="Arial" w:cstheme="minorHAnsi"/>
              </w:rPr>
            </w:pPr>
            <w:r>
              <w:rPr>
                <w:color w:val="FFFFFF"/>
              </w:rPr>
              <w:t>Publication</w:t>
            </w:r>
            <w:r w:rsidR="00C529A8">
              <w:rPr>
                <w:color w:val="FFFFFF"/>
              </w:rPr>
              <w:t xml:space="preserve"> des résultats</w:t>
            </w:r>
            <w:r w:rsidR="00C529A8">
              <w:rPr>
                <w:color w:val="FFFFFF"/>
              </w:rPr>
              <w:tab/>
            </w: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B19D1F" w14:textId="294EF84C" w:rsidR="0024366C" w:rsidRPr="007942F6" w:rsidRDefault="00BC1CDE" w:rsidP="00846B44">
            <w:pPr>
              <w:spacing w:after="120" w:line="240" w:lineRule="auto"/>
              <w:ind w:left="993"/>
              <w:rPr>
                <w:rFonts w:eastAsia="Arial" w:cstheme="minorHAnsi"/>
              </w:rPr>
            </w:pPr>
            <w:r>
              <w:t>11 août</w:t>
            </w:r>
            <w:r w:rsidR="007942F6" w:rsidRPr="007942F6">
              <w:t xml:space="preserve"> 202</w:t>
            </w:r>
            <w:r>
              <w:t>6</w:t>
            </w:r>
          </w:p>
        </w:tc>
      </w:tr>
      <w:tr w:rsidR="0024366C" w:rsidRPr="00D00051" w14:paraId="03409089" w14:textId="77777777" w:rsidTr="00846B44">
        <w:trPr>
          <w:trHeight w:hRule="exact" w:val="338"/>
        </w:trPr>
        <w:tc>
          <w:tcPr>
            <w:tcW w:w="45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8A8A8"/>
          </w:tcPr>
          <w:p w14:paraId="4DFBB894" w14:textId="66C7A93D" w:rsidR="0024366C" w:rsidRPr="00D00051" w:rsidRDefault="6881C3CE" w:rsidP="00846B44">
            <w:pPr>
              <w:spacing w:after="120" w:line="240" w:lineRule="auto"/>
              <w:ind w:left="191"/>
              <w:rPr>
                <w:rFonts w:eastAsia="Arial"/>
              </w:rPr>
            </w:pPr>
            <w:r>
              <w:rPr>
                <w:color w:val="FFFFFF" w:themeColor="background1"/>
              </w:rPr>
              <w:t>Date de début de mise en œuvre</w:t>
            </w: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E4DEB4" w14:textId="43A865F0" w:rsidR="0024366C" w:rsidRPr="00D00051" w:rsidRDefault="0019324C" w:rsidP="00846B44">
            <w:pPr>
              <w:spacing w:after="120" w:line="240" w:lineRule="auto"/>
              <w:ind w:left="993"/>
              <w:rPr>
                <w:rFonts w:eastAsia="Arial" w:cstheme="minorHAnsi"/>
              </w:rPr>
            </w:pPr>
            <w:r>
              <w:rPr>
                <w:rFonts w:eastAsia="Arial" w:cstheme="minorHAnsi"/>
              </w:rPr>
              <w:t>1</w:t>
            </w:r>
            <w:r w:rsidR="00AC0AAB" w:rsidRPr="00AC0AAB">
              <w:rPr>
                <w:rFonts w:eastAsia="Arial" w:cstheme="minorHAnsi"/>
                <w:vertAlign w:val="superscript"/>
              </w:rPr>
              <w:t>er</w:t>
            </w:r>
            <w:r w:rsidR="00AC0AAB">
              <w:rPr>
                <w:rFonts w:eastAsia="Arial" w:cstheme="minorHAnsi"/>
              </w:rPr>
              <w:t xml:space="preserve"> </w:t>
            </w:r>
            <w:r w:rsidR="00BC1CDE">
              <w:rPr>
                <w:rFonts w:eastAsia="Arial" w:cstheme="minorHAnsi"/>
              </w:rPr>
              <w:t>septembre</w:t>
            </w:r>
            <w:r w:rsidR="0004151B">
              <w:rPr>
                <w:rFonts w:eastAsia="Arial" w:cstheme="minorHAnsi"/>
              </w:rPr>
              <w:t xml:space="preserve"> 202</w:t>
            </w:r>
            <w:r w:rsidR="00BC1CDE">
              <w:rPr>
                <w:rFonts w:eastAsia="Arial" w:cstheme="minorHAnsi"/>
              </w:rPr>
              <w:t>6</w:t>
            </w:r>
          </w:p>
        </w:tc>
      </w:tr>
      <w:tr w:rsidR="0024366C" w:rsidRPr="00D00051" w14:paraId="767C37D0" w14:textId="77777777" w:rsidTr="00846B44">
        <w:trPr>
          <w:trHeight w:hRule="exact" w:val="338"/>
        </w:trPr>
        <w:tc>
          <w:tcPr>
            <w:tcW w:w="459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8A8A8"/>
          </w:tcPr>
          <w:p w14:paraId="5EF595E2" w14:textId="14B46B18" w:rsidR="0024366C" w:rsidRPr="00D00051" w:rsidRDefault="3B7FBA70" w:rsidP="00846B44">
            <w:pPr>
              <w:spacing w:after="120" w:line="240" w:lineRule="auto"/>
              <w:ind w:left="191"/>
              <w:rPr>
                <w:rFonts w:eastAsia="Arial"/>
              </w:rPr>
            </w:pPr>
            <w:r>
              <w:rPr>
                <w:color w:val="FFFFFF" w:themeColor="background1"/>
              </w:rPr>
              <w:t>Date de fin de mise en œuvre</w:t>
            </w:r>
          </w:p>
        </w:tc>
        <w:tc>
          <w:tcPr>
            <w:tcW w:w="354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83EF33" w14:textId="1A973157" w:rsidR="0024366C" w:rsidRPr="00D00051" w:rsidRDefault="00CB52D3" w:rsidP="00846B44">
            <w:pPr>
              <w:spacing w:after="120" w:line="240" w:lineRule="auto"/>
              <w:ind w:left="993"/>
              <w:rPr>
                <w:rFonts w:eastAsia="Arial" w:cstheme="minorHAnsi"/>
              </w:rPr>
            </w:pPr>
            <w:r>
              <w:rPr>
                <w:rFonts w:eastAsia="Arial" w:cstheme="minorHAnsi"/>
              </w:rPr>
              <w:t>30 février</w:t>
            </w:r>
            <w:r w:rsidR="0004151B">
              <w:rPr>
                <w:rFonts w:eastAsia="Arial" w:cstheme="minorHAnsi"/>
              </w:rPr>
              <w:t xml:space="preserve"> 202</w:t>
            </w:r>
            <w:r w:rsidR="00E830FA">
              <w:rPr>
                <w:rFonts w:eastAsia="Arial" w:cstheme="minorHAnsi"/>
              </w:rPr>
              <w:t>8</w:t>
            </w:r>
          </w:p>
        </w:tc>
      </w:tr>
    </w:tbl>
    <w:p w14:paraId="4CD9C909" w14:textId="77777777" w:rsidR="0024366C" w:rsidRPr="00675063" w:rsidRDefault="0024366C" w:rsidP="00846B44">
      <w:pPr>
        <w:spacing w:after="120" w:line="240" w:lineRule="auto"/>
        <w:ind w:left="993"/>
        <w:rPr>
          <w:rFonts w:cstheme="minorHAnsi"/>
          <w:sz w:val="20"/>
          <w:szCs w:val="20"/>
        </w:rPr>
      </w:pPr>
    </w:p>
    <w:p w14:paraId="5A024D2A" w14:textId="77777777" w:rsidR="0091364B" w:rsidRPr="00D00051" w:rsidRDefault="00C529A8" w:rsidP="00846B44">
      <w:pPr>
        <w:tabs>
          <w:tab w:val="left" w:pos="840"/>
        </w:tabs>
        <w:spacing w:after="120" w:line="240" w:lineRule="auto"/>
        <w:ind w:left="993"/>
        <w:rPr>
          <w:rFonts w:eastAsia="Arial" w:cstheme="minorHAnsi"/>
          <w:color w:val="4F81BD" w:themeColor="accent1"/>
        </w:rPr>
      </w:pPr>
      <w:r>
        <w:t>2</w:t>
      </w:r>
      <w:r>
        <w:tab/>
      </w:r>
      <w:r>
        <w:rPr>
          <w:b/>
          <w:i/>
        </w:rPr>
        <w:t>Lieux</w:t>
      </w:r>
    </w:p>
    <w:p w14:paraId="469B819C" w14:textId="25DC8FD5" w:rsidR="0004151B" w:rsidRPr="0004151B" w:rsidRDefault="00D00051" w:rsidP="0004151B">
      <w:pPr>
        <w:tabs>
          <w:tab w:val="left" w:pos="840"/>
        </w:tabs>
        <w:spacing w:after="120" w:line="240" w:lineRule="auto"/>
        <w:ind w:left="993"/>
        <w:rPr>
          <w:i/>
          <w:color w:val="4F81BD" w:themeColor="accent1"/>
        </w:rPr>
      </w:pPr>
      <w:r>
        <w:rPr>
          <w:i/>
          <w:color w:val="4F81BD" w:themeColor="accent1"/>
        </w:rPr>
        <w:tab/>
      </w:r>
      <w:r w:rsidR="00182A80">
        <w:rPr>
          <w:i/>
          <w:color w:val="4F81BD" w:themeColor="accent1"/>
        </w:rPr>
        <w:t>Ville de Kalemie (commune</w:t>
      </w:r>
      <w:r w:rsidR="00E830FA">
        <w:rPr>
          <w:i/>
          <w:color w:val="4F81BD" w:themeColor="accent1"/>
        </w:rPr>
        <w:t>s</w:t>
      </w:r>
      <w:r w:rsidR="00182A80">
        <w:rPr>
          <w:i/>
          <w:color w:val="4F81BD" w:themeColor="accent1"/>
        </w:rPr>
        <w:t xml:space="preserve"> de la Lukuga</w:t>
      </w:r>
      <w:r w:rsidR="00E830FA">
        <w:rPr>
          <w:i/>
          <w:color w:val="4F81BD" w:themeColor="accent1"/>
        </w:rPr>
        <w:t xml:space="preserve"> et Lac</w:t>
      </w:r>
      <w:r w:rsidR="00182A80">
        <w:rPr>
          <w:i/>
          <w:color w:val="4F81BD" w:themeColor="accent1"/>
        </w:rPr>
        <w:t xml:space="preserve"> et l’Ecole de Police de Kalemie), Territoire de Kalemie (chefferie Tumbwe), Territoire de Nyunzu (Secteurs du Nord et du Sud Lukuga) et Territoire de Kongolo (chefferie de Bayazi)</w:t>
      </w:r>
      <w:r w:rsidR="0004151B">
        <w:rPr>
          <w:i/>
          <w:color w:val="4F81BD" w:themeColor="accent1"/>
        </w:rPr>
        <w:t xml:space="preserve"> </w:t>
      </w:r>
    </w:p>
    <w:p w14:paraId="4AECE7A8" w14:textId="2741F411" w:rsidR="0024366C" w:rsidRPr="00D00051" w:rsidRDefault="00C529A8" w:rsidP="00846B44">
      <w:pPr>
        <w:tabs>
          <w:tab w:val="left" w:pos="840"/>
        </w:tabs>
        <w:spacing w:after="120" w:line="240" w:lineRule="auto"/>
        <w:ind w:left="993"/>
        <w:rPr>
          <w:rFonts w:eastAsia="Arial" w:cstheme="minorHAnsi"/>
        </w:rPr>
      </w:pPr>
      <w:r>
        <w:t>3</w:t>
      </w:r>
      <w:r>
        <w:tab/>
      </w:r>
      <w:r w:rsidR="00277F80">
        <w:rPr>
          <w:b/>
          <w:i/>
        </w:rPr>
        <w:t>S</w:t>
      </w:r>
      <w:r>
        <w:rPr>
          <w:b/>
          <w:i/>
        </w:rPr>
        <w:t>ecteur(s) et domaine(s) de spécialisation</w:t>
      </w:r>
    </w:p>
    <w:p w14:paraId="70E9E4DC" w14:textId="3B3A0042" w:rsidR="00BD6922" w:rsidRPr="0004151B" w:rsidRDefault="00D00051" w:rsidP="00846B44">
      <w:pPr>
        <w:spacing w:after="120" w:line="240" w:lineRule="auto"/>
        <w:ind w:left="993"/>
        <w:rPr>
          <w:i/>
          <w:color w:val="4F81BD" w:themeColor="accent1"/>
        </w:rPr>
      </w:pPr>
      <w:r>
        <w:rPr>
          <w:i/>
          <w:color w:val="4F81BD" w:themeColor="accent1"/>
        </w:rPr>
        <w:tab/>
      </w:r>
      <w:r w:rsidR="0004151B" w:rsidRPr="0004151B">
        <w:rPr>
          <w:i/>
          <w:color w:val="4F81BD" w:themeColor="accent1"/>
        </w:rPr>
        <w:t>Moyens de subsistance</w:t>
      </w:r>
      <w:r w:rsidR="0004151B">
        <w:rPr>
          <w:rFonts w:ascii="Times New Roman" w:eastAsia="Times New Roman" w:hAnsi="Times New Roman" w:cs="Times New Roman"/>
          <w:color w:val="000000"/>
          <w:lang w:eastAsia="fr-FR"/>
        </w:rPr>
        <w:t xml:space="preserve"> : </w:t>
      </w:r>
      <w:r w:rsidR="00182A80">
        <w:rPr>
          <w:i/>
          <w:color w:val="4F81BD" w:themeColor="accent1"/>
        </w:rPr>
        <w:t xml:space="preserve">Accompagnement des CLS et des Forums de quartiers et Forums de village dans les activités de gouvernance sécuritaire et de mobilisation communautaire. La sensibilisation des communautés </w:t>
      </w:r>
      <w:r w:rsidR="00714654">
        <w:rPr>
          <w:i/>
          <w:color w:val="4F81BD" w:themeColor="accent1"/>
        </w:rPr>
        <w:t>en matière de</w:t>
      </w:r>
      <w:r w:rsidR="00182A80">
        <w:rPr>
          <w:i/>
          <w:color w:val="4F81BD" w:themeColor="accent1"/>
        </w:rPr>
        <w:t xml:space="preserve"> Police de proximité devra s’effectuer aussi bien de porte à porte que par les moyens de communication de masse comme les radios communautaires des zones cibles du Projet.</w:t>
      </w:r>
    </w:p>
    <w:p w14:paraId="717D4A9A" w14:textId="77777777" w:rsidR="0024366C" w:rsidRPr="00D00051" w:rsidRDefault="0024366C" w:rsidP="00846B44">
      <w:pPr>
        <w:spacing w:after="120" w:line="240" w:lineRule="auto"/>
        <w:ind w:left="993"/>
        <w:rPr>
          <w:rFonts w:cstheme="minorHAnsi"/>
        </w:rPr>
      </w:pPr>
    </w:p>
    <w:p w14:paraId="6EA3F758" w14:textId="77777777" w:rsidR="0024366C" w:rsidRPr="00D00051" w:rsidRDefault="00C529A8" w:rsidP="00846B44">
      <w:pPr>
        <w:tabs>
          <w:tab w:val="left" w:pos="840"/>
        </w:tabs>
        <w:spacing w:after="120" w:line="240" w:lineRule="auto"/>
        <w:ind w:left="993"/>
        <w:rPr>
          <w:rFonts w:eastAsia="Arial" w:cstheme="minorHAnsi"/>
        </w:rPr>
      </w:pPr>
      <w:r>
        <w:t>4</w:t>
      </w:r>
      <w:r>
        <w:tab/>
      </w:r>
      <w:r>
        <w:rPr>
          <w:b/>
          <w:i/>
        </w:rPr>
        <w:t>Organisme émetteur</w:t>
      </w:r>
    </w:p>
    <w:p w14:paraId="2354DF7C" w14:textId="2783004E" w:rsidR="0024366C" w:rsidRPr="00D00051" w:rsidRDefault="00BD6922" w:rsidP="00846B44">
      <w:pPr>
        <w:spacing w:after="120" w:line="240" w:lineRule="auto"/>
        <w:ind w:left="993" w:firstLine="720"/>
        <w:rPr>
          <w:rFonts w:eastAsia="Arial" w:cstheme="minorHAnsi"/>
        </w:rPr>
      </w:pPr>
      <w:r>
        <w:t>OIM</w:t>
      </w:r>
      <w:r w:rsidR="001758BD">
        <w:t xml:space="preserve"> (organisation Internationale pour les Migrations)</w:t>
      </w:r>
    </w:p>
    <w:p w14:paraId="640F0759" w14:textId="77777777" w:rsidR="0024366C" w:rsidRPr="00D00051" w:rsidRDefault="0024366C" w:rsidP="00846B44">
      <w:pPr>
        <w:spacing w:after="120" w:line="240" w:lineRule="auto"/>
        <w:ind w:left="993"/>
        <w:rPr>
          <w:rFonts w:cstheme="minorHAnsi"/>
        </w:rPr>
      </w:pPr>
    </w:p>
    <w:p w14:paraId="722CD44C" w14:textId="6E7E2721" w:rsidR="0004151B" w:rsidRPr="0004151B" w:rsidRDefault="00C529A8" w:rsidP="0004151B">
      <w:pPr>
        <w:tabs>
          <w:tab w:val="left" w:pos="840"/>
        </w:tabs>
        <w:spacing w:after="120" w:line="240" w:lineRule="auto"/>
        <w:ind w:left="993"/>
        <w:rPr>
          <w:rFonts w:eastAsia="Arial" w:cstheme="minorHAnsi"/>
          <w:b/>
          <w:bCs/>
          <w:i/>
        </w:rPr>
      </w:pPr>
      <w:r>
        <w:t>5</w:t>
      </w:r>
      <w:r>
        <w:tab/>
      </w:r>
      <w:r>
        <w:rPr>
          <w:b/>
          <w:i/>
        </w:rPr>
        <w:t>Contexte du projet</w:t>
      </w:r>
    </w:p>
    <w:p w14:paraId="5318C642" w14:textId="77777777" w:rsidR="00182A80" w:rsidRPr="00714654" w:rsidRDefault="00182A80" w:rsidP="00714654">
      <w:pPr>
        <w:jc w:val="both"/>
        <w:rPr>
          <w:rFonts w:cstheme="minorHAnsi"/>
          <w:i/>
          <w:iCs/>
          <w:color w:val="4F81BD" w:themeColor="accent1"/>
        </w:rPr>
      </w:pPr>
      <w:r w:rsidRPr="00714654">
        <w:rPr>
          <w:rFonts w:cstheme="minorHAnsi"/>
          <w:i/>
          <w:iCs/>
          <w:color w:val="4F81BD" w:themeColor="accent1"/>
        </w:rPr>
        <w:lastRenderedPageBreak/>
        <w:t xml:space="preserve">Après plus de vingt ans de présence de la MONUSCO dans la province du Tanganyika, la situation sécuritaire s’est nettement améliorée conduisant le Conseil de sécurité des Nations-Unies, dans sa Résolution 2612 du 20 décembre 2021, à ordonner la fermeture des bureaux de la MONUSCO à Kalemie. Cette fermeture a été effective à partir du 30 juin 2022. </w:t>
      </w:r>
    </w:p>
    <w:p w14:paraId="787AB1E2" w14:textId="77777777" w:rsidR="00182A80" w:rsidRPr="00714654" w:rsidRDefault="00182A80" w:rsidP="00714654">
      <w:pPr>
        <w:jc w:val="both"/>
        <w:rPr>
          <w:rFonts w:cstheme="minorHAnsi"/>
          <w:i/>
          <w:iCs/>
          <w:color w:val="4F81BD" w:themeColor="accent1"/>
        </w:rPr>
      </w:pPr>
      <w:r w:rsidRPr="00714654">
        <w:rPr>
          <w:rFonts w:cstheme="minorHAnsi"/>
          <w:i/>
          <w:iCs/>
          <w:color w:val="4F81BD" w:themeColor="accent1"/>
        </w:rPr>
        <w:t xml:space="preserve">Par conséquent, plusieurs consultations ont eu lieu entre la MONUSCO, les Agences, Fonds et Programmes des Nations-Unies, les autorités provinciales et la société civile congolaise pour soutenir le processus de transition à travers des initiatives visant à améliorer l'environnement sécuritaire, à consolider la paix et à soutenir le développement de la province du Tanganyika. </w:t>
      </w:r>
    </w:p>
    <w:p w14:paraId="799F4675" w14:textId="77777777" w:rsidR="00AB0956" w:rsidRPr="00AB0956" w:rsidRDefault="00AB0956" w:rsidP="00AB0956">
      <w:pPr>
        <w:jc w:val="both"/>
        <w:rPr>
          <w:rFonts w:cstheme="minorHAnsi"/>
          <w:i/>
          <w:iCs/>
          <w:color w:val="4F81BD" w:themeColor="accent1"/>
        </w:rPr>
      </w:pPr>
      <w:r w:rsidRPr="00AB0956">
        <w:rPr>
          <w:rFonts w:cstheme="minorHAnsi"/>
          <w:i/>
          <w:iCs/>
          <w:color w:val="4F81BD" w:themeColor="accent1"/>
        </w:rPr>
        <w:t>Depuis 2023, les interventions de l'OIM au Tanganyika dans le cadre de l’amélioration de la gouvernance sécuritaire comprend une série des projets complémentaires dont «"Promotion de la gouvernance sécuritaire inclusive", financé par le Fonds de consolidation de la paix (PBF), dont l’objectif est la promotion de la gouvernance sécuritaire inclusive à travers le déploiement de doctrine de police de proximité dans un contexte de désengagement de la MONUSCO» et celui intitulé « Police de proximité, visant à rétablir l’autorité de l’État, à renforcer la protection des civiles et promouvoir une gouvernance sécuritaire inclusive, afin de soutenir le processus de désengagement de la MONUSCO dans la province du Tanganyika » financé par l’Agence Japonaise de Coopération Internationale (JICA),  ont posé les bases d'une meilleure gouvernance en matière de sécurité et d'une stabilisation accrue. Les investissements dans les infrastructures policières, notamment la construction d'un centre de formation de la police, d'un commissariat et de six postes de police, ainsi que la réhabilitation du centre de commandement provincial de la PNC, ont considérablement renforcé les capacités institutionnelles de la Police nationale congolaise (PNC). Les moyens de mobilité, tels que les véhicules et les équipements de communication, ont amélioré la réactivité de la police, en particulier dans les zones reculées. Cependant, les infrastructures seules n’ont pas suffi à répondre pleinement aux préoccupations en matière de sécurité. Le lien entre l’amélioration des infrastructures et des résultats mesurables en matière de sécurité reste un défi. Parmi les principales lacunes figurent la nécessité de renforcer la police de proximité, les initiatives visant à instaurer la confiance et la coordination opérationnelle entre les forces de sécurité et les structures de gouvernance locales.</w:t>
      </w:r>
    </w:p>
    <w:p w14:paraId="6E5F0025" w14:textId="77777777" w:rsidR="00AB0956" w:rsidRPr="00AB0956" w:rsidRDefault="00AB0956" w:rsidP="00AB0956">
      <w:pPr>
        <w:jc w:val="both"/>
        <w:rPr>
          <w:rFonts w:cstheme="minorHAnsi"/>
          <w:i/>
          <w:iCs/>
          <w:color w:val="4F81BD" w:themeColor="accent1"/>
        </w:rPr>
      </w:pPr>
      <w:r w:rsidRPr="00AB0956">
        <w:rPr>
          <w:rFonts w:cstheme="minorHAnsi"/>
          <w:i/>
          <w:iCs/>
          <w:color w:val="4F81BD" w:themeColor="accent1"/>
        </w:rPr>
        <w:t xml:space="preserve">Pour miner véritablement la gouvernance sécuritaire qui se veut participativement inclusive, le renforcement des capacités des comités locaux de sécurité (CLS), l’appui à leur fonctionnement régulier, ainsi que le développement et la mise à jour des outils de gouvernance sécuritaire dont de Diagnostics Locaux de Sécurité (DLS) et de Plans Locaux de Sécurité (PLS) s’avère l’exercice continue de gestion de sécurité locale. </w:t>
      </w:r>
    </w:p>
    <w:p w14:paraId="4D957F35" w14:textId="77777777" w:rsidR="00AB0956" w:rsidRPr="00AB0956" w:rsidRDefault="00AB0956" w:rsidP="00AB0956">
      <w:pPr>
        <w:jc w:val="both"/>
        <w:rPr>
          <w:rFonts w:cstheme="minorHAnsi"/>
          <w:i/>
          <w:iCs/>
          <w:color w:val="4F81BD" w:themeColor="accent1"/>
        </w:rPr>
      </w:pPr>
      <w:r w:rsidRPr="00AB0956">
        <w:rPr>
          <w:rFonts w:cstheme="minorHAnsi"/>
          <w:i/>
          <w:iCs/>
          <w:color w:val="4F81BD" w:themeColor="accent1"/>
        </w:rPr>
        <w:t>Pour étendre et consolider ces réalisations, l’organisation Internationale pour les Migrations met en œuvre le projet intitulé « projet d’appui à la consolidation de la paix à travers le renforcement de la cohésion sociale et l’amélioration de la sécurité au Tanganyika » sous le financement de l’Agence japonaise de coopération Internationale (JICA en sigle)</w:t>
      </w:r>
    </w:p>
    <w:p w14:paraId="6F008264" w14:textId="77777777" w:rsidR="001E6E15" w:rsidRPr="006966FA" w:rsidRDefault="001E6E15" w:rsidP="001E6E15">
      <w:pPr>
        <w:spacing w:after="0" w:line="300" w:lineRule="atLeast"/>
        <w:jc w:val="both"/>
        <w:rPr>
          <w:rFonts w:cstheme="minorHAnsi"/>
          <w:i/>
          <w:iCs/>
          <w:color w:val="4F81BD" w:themeColor="accent1"/>
        </w:rPr>
      </w:pPr>
      <w:bookmarkStart w:id="0" w:name="_Hlk124765352"/>
      <w:r w:rsidRPr="006966FA">
        <w:rPr>
          <w:rFonts w:cstheme="minorHAnsi"/>
          <w:i/>
          <w:iCs/>
          <w:color w:val="4F81BD" w:themeColor="accent1"/>
        </w:rPr>
        <w:t xml:space="preserve">Ce projet est conçu pour </w:t>
      </w:r>
      <w:bookmarkEnd w:id="0"/>
      <w:r w:rsidRPr="006966FA">
        <w:rPr>
          <w:rFonts w:cstheme="minorHAnsi"/>
          <w:i/>
          <w:iCs/>
          <w:color w:val="4F81BD" w:themeColor="accent1"/>
        </w:rPr>
        <w:t xml:space="preserve">à s'attaquer aux causes profondes du conflit, à favoriser une réintégration durable et à renforcer les institutions locales, afin de soutenir la transition du Tanganyika vers la stabilité dans l'ère post-MONUSCO. Le projet vient en complément de l'initiative quinquennale « Amélioration des conditions de vie des groupes de population dans des contextes critiques en matière de sécurité en RDC. Santé mentale et soutien psychosocial pour la paix en République démocratique du Congo », mise en œuvre par l'OIM dans la province du Tanganyika et financée par la Banque allemande de développement (KfW). </w:t>
      </w:r>
    </w:p>
    <w:p w14:paraId="01971B30" w14:textId="77777777" w:rsidR="001E6E15" w:rsidRPr="006966FA" w:rsidRDefault="001E6E15" w:rsidP="001E6E15">
      <w:pPr>
        <w:spacing w:after="0" w:line="300" w:lineRule="atLeast"/>
        <w:jc w:val="both"/>
        <w:rPr>
          <w:rFonts w:cstheme="minorHAnsi"/>
          <w:i/>
          <w:iCs/>
          <w:color w:val="4F81BD" w:themeColor="accent1"/>
        </w:rPr>
      </w:pPr>
    </w:p>
    <w:p w14:paraId="2CA7BA90" w14:textId="1CFAA06F" w:rsidR="00182A80" w:rsidRPr="00714654" w:rsidRDefault="001E6E15" w:rsidP="001E6E15">
      <w:pPr>
        <w:jc w:val="both"/>
        <w:rPr>
          <w:rFonts w:cstheme="minorHAnsi"/>
          <w:i/>
          <w:iCs/>
          <w:color w:val="4F81BD" w:themeColor="accent1"/>
        </w:rPr>
      </w:pPr>
      <w:r w:rsidRPr="006966FA">
        <w:rPr>
          <w:rFonts w:cstheme="minorHAnsi"/>
          <w:i/>
          <w:iCs/>
          <w:color w:val="4F81BD" w:themeColor="accent1"/>
        </w:rPr>
        <w:t>Le projet d’appui à la consolidation de la paix à travers le renforcement de la cohésion sociale et l’amélioration de la sécurité au Tanganyika vise à renforcer l'autorité de l'État, la paix, la cohésion sociale, à améliorer la gouvernance sécuritaire et à soutenir une réintégration durable des groupes cibles en favorisant la résilience économique grâce à une approche sensible au climat et au conflits tout en créant des opportunités</w:t>
      </w:r>
      <w:r w:rsidR="00182A80" w:rsidRPr="00714654">
        <w:rPr>
          <w:rFonts w:cstheme="minorHAnsi"/>
          <w:i/>
          <w:iCs/>
          <w:color w:val="4F81BD" w:themeColor="accent1"/>
        </w:rPr>
        <w:t xml:space="preserve">. </w:t>
      </w:r>
    </w:p>
    <w:p w14:paraId="352120C5" w14:textId="55D04C84" w:rsidR="00182A80" w:rsidRDefault="00761688" w:rsidP="006966FA">
      <w:pPr>
        <w:jc w:val="both"/>
        <w:rPr>
          <w:rFonts w:cstheme="minorHAnsi"/>
          <w:color w:val="4F81BD" w:themeColor="accent1"/>
        </w:rPr>
      </w:pPr>
      <w:r w:rsidRPr="006966FA">
        <w:rPr>
          <w:rFonts w:cstheme="minorHAnsi"/>
          <w:i/>
          <w:iCs/>
          <w:color w:val="4F81BD" w:themeColor="accent1"/>
        </w:rPr>
        <w:t xml:space="preserve">A son objectif 1, le projet vise le renforcement de l’autorité de l’Etat par le soutien à la professionnalisation de la police nationale congolaise et l’amélioration de la gestion sécuritaire au niveau communautaire le rendant plus efficient. Pour y arriver, il s’attend en son résultat 1.3 que « les mécanismes locaux de gouvernance locale de sécurité doivent être </w:t>
      </w:r>
      <w:r w:rsidRPr="006966FA">
        <w:rPr>
          <w:rFonts w:cstheme="minorHAnsi"/>
          <w:i/>
          <w:iCs/>
          <w:color w:val="4F81BD" w:themeColor="accent1"/>
        </w:rPr>
        <w:lastRenderedPageBreak/>
        <w:t>améliorés pour une meilleure gestion de sécurité »</w:t>
      </w:r>
      <w:r w:rsidR="006966FA">
        <w:rPr>
          <w:rFonts w:cstheme="minorHAnsi"/>
          <w:i/>
          <w:iCs/>
          <w:color w:val="4F81BD" w:themeColor="accent1"/>
        </w:rPr>
        <w:t xml:space="preserve">. </w:t>
      </w:r>
      <w:r w:rsidR="00182A80" w:rsidRPr="00714654">
        <w:rPr>
          <w:rFonts w:cstheme="minorHAnsi"/>
          <w:i/>
          <w:iCs/>
          <w:color w:val="4F81BD" w:themeColor="accent1"/>
        </w:rPr>
        <w:t>Pour faciliter la mise en œuvre des activités de mobilisation communautaire dans le but de rapprocher la Police de la Population et vice-versa et d’opérationnaliser les mécanismes communautaires de gestion de la sécurité l’OIM envisage identifier et sélectionner un ou des partenaires locaux. Le présent TDR servira de base dans le cadre de l’appel d’offre pour définir les interventions nécessaires pour la sélection du partenaire</w:t>
      </w:r>
      <w:r w:rsidR="00182A80" w:rsidRPr="00507F2C">
        <w:rPr>
          <w:rFonts w:cstheme="minorHAnsi"/>
          <w:color w:val="4F81BD" w:themeColor="accent1"/>
        </w:rPr>
        <w:t>.</w:t>
      </w:r>
    </w:p>
    <w:p w14:paraId="4D404158" w14:textId="77777777" w:rsidR="00182A80" w:rsidRDefault="00182A80" w:rsidP="00182A80">
      <w:pPr>
        <w:tabs>
          <w:tab w:val="left" w:pos="840"/>
        </w:tabs>
        <w:spacing w:after="120" w:line="240" w:lineRule="auto"/>
        <w:rPr>
          <w:rFonts w:cstheme="minorHAnsi"/>
          <w:color w:val="4F81BD" w:themeColor="accent1"/>
        </w:rPr>
      </w:pPr>
    </w:p>
    <w:p w14:paraId="2FE9B180" w14:textId="52F2F224" w:rsidR="0024366C" w:rsidRPr="00D00051" w:rsidRDefault="00C529A8" w:rsidP="00182A80">
      <w:pPr>
        <w:tabs>
          <w:tab w:val="left" w:pos="840"/>
        </w:tabs>
        <w:spacing w:after="120" w:line="240" w:lineRule="auto"/>
        <w:rPr>
          <w:rFonts w:eastAsia="Arial" w:cstheme="minorHAnsi"/>
        </w:rPr>
      </w:pPr>
      <w:r>
        <w:t>6</w:t>
      </w:r>
      <w:r>
        <w:tab/>
      </w:r>
      <w:r>
        <w:rPr>
          <w:b/>
          <w:i/>
        </w:rPr>
        <w:t>Résultats attendus</w:t>
      </w:r>
    </w:p>
    <w:p w14:paraId="34A39663" w14:textId="77777777" w:rsidR="0050495C" w:rsidRPr="0050495C" w:rsidRDefault="0050495C" w:rsidP="0050495C">
      <w:pPr>
        <w:pStyle w:val="ListParagraph"/>
        <w:widowControl/>
        <w:numPr>
          <w:ilvl w:val="0"/>
          <w:numId w:val="9"/>
        </w:numPr>
        <w:spacing w:after="160" w:line="259" w:lineRule="auto"/>
        <w:jc w:val="both"/>
        <w:rPr>
          <w:rFonts w:cstheme="minorHAnsi"/>
          <w:i/>
          <w:iCs/>
          <w:color w:val="4F81BD" w:themeColor="accent1"/>
        </w:rPr>
      </w:pPr>
      <w:r w:rsidRPr="0050495C">
        <w:rPr>
          <w:rFonts w:cstheme="minorHAnsi"/>
          <w:i/>
          <w:iCs/>
          <w:color w:val="4F81BD" w:themeColor="accent1"/>
        </w:rPr>
        <w:t>Un soutien logistique pour le déploiement de policiers formés à Nyunzu, Kalemie et Kongolo est fourni</w:t>
      </w:r>
    </w:p>
    <w:p w14:paraId="02CD354D" w14:textId="77777777" w:rsidR="0050495C" w:rsidRPr="0050495C" w:rsidRDefault="0050495C" w:rsidP="0050495C">
      <w:pPr>
        <w:pStyle w:val="ListParagraph"/>
        <w:widowControl/>
        <w:numPr>
          <w:ilvl w:val="0"/>
          <w:numId w:val="9"/>
        </w:numPr>
        <w:spacing w:after="160" w:line="259" w:lineRule="auto"/>
        <w:jc w:val="both"/>
        <w:rPr>
          <w:rFonts w:cstheme="minorHAnsi"/>
          <w:i/>
          <w:iCs/>
          <w:color w:val="4F81BD" w:themeColor="accent1"/>
        </w:rPr>
      </w:pPr>
      <w:r w:rsidRPr="0050495C">
        <w:rPr>
          <w:rFonts w:cstheme="minorHAnsi"/>
          <w:i/>
          <w:iCs/>
          <w:color w:val="4F81BD" w:themeColor="accent1"/>
        </w:rPr>
        <w:t>Un programme d’accompagnement en communauté des 30 coaches/mentors policiers pour le suivi de l'application des principes de la police de proximité est mis en place et exécuté.</w:t>
      </w:r>
    </w:p>
    <w:p w14:paraId="15827C94" w14:textId="77777777" w:rsidR="0050495C" w:rsidRPr="0050495C" w:rsidRDefault="0050495C" w:rsidP="0050495C">
      <w:pPr>
        <w:pStyle w:val="ListParagraph"/>
        <w:widowControl/>
        <w:numPr>
          <w:ilvl w:val="0"/>
          <w:numId w:val="9"/>
        </w:numPr>
        <w:spacing w:after="160" w:line="259" w:lineRule="auto"/>
        <w:jc w:val="both"/>
        <w:rPr>
          <w:rFonts w:cstheme="minorHAnsi"/>
          <w:i/>
          <w:iCs/>
          <w:color w:val="4F81BD" w:themeColor="accent1"/>
        </w:rPr>
      </w:pPr>
      <w:r w:rsidRPr="0050495C">
        <w:rPr>
          <w:rFonts w:cstheme="minorHAnsi"/>
          <w:i/>
          <w:iCs/>
          <w:color w:val="4F81BD" w:themeColor="accent1"/>
        </w:rPr>
        <w:t>Des réunions publiques avec la PNC, les médias, la société civile et les communautés sur la police de proximité et les droits de l'homme sont organisées</w:t>
      </w:r>
    </w:p>
    <w:p w14:paraId="49F1F6AF" w14:textId="77777777" w:rsidR="0050495C" w:rsidRPr="0050495C" w:rsidRDefault="0050495C" w:rsidP="0050495C">
      <w:pPr>
        <w:pStyle w:val="ListParagraph"/>
        <w:widowControl/>
        <w:numPr>
          <w:ilvl w:val="0"/>
          <w:numId w:val="9"/>
        </w:numPr>
        <w:spacing w:after="160" w:line="259" w:lineRule="auto"/>
        <w:jc w:val="both"/>
        <w:rPr>
          <w:rFonts w:cstheme="minorHAnsi"/>
          <w:i/>
          <w:iCs/>
          <w:color w:val="4F81BD" w:themeColor="accent1"/>
        </w:rPr>
      </w:pPr>
      <w:r w:rsidRPr="0050495C">
        <w:rPr>
          <w:rFonts w:cstheme="minorHAnsi"/>
          <w:i/>
          <w:iCs/>
          <w:color w:val="4F81BD" w:themeColor="accent1"/>
        </w:rPr>
        <w:t>Des sessions de dialogue et les activités de rapprochement entre les policiers et les membres de la communauté afin d'instaurer la confiance sont tenues</w:t>
      </w:r>
    </w:p>
    <w:p w14:paraId="62917BE7" w14:textId="77777777" w:rsidR="0050495C" w:rsidRPr="0050495C" w:rsidRDefault="0050495C" w:rsidP="0050495C">
      <w:pPr>
        <w:pStyle w:val="ListParagraph"/>
        <w:widowControl/>
        <w:numPr>
          <w:ilvl w:val="0"/>
          <w:numId w:val="9"/>
        </w:numPr>
        <w:spacing w:after="160" w:line="259" w:lineRule="auto"/>
        <w:jc w:val="both"/>
        <w:rPr>
          <w:rFonts w:cstheme="minorHAnsi"/>
          <w:i/>
          <w:iCs/>
          <w:color w:val="4F81BD" w:themeColor="accent1"/>
        </w:rPr>
      </w:pPr>
      <w:r w:rsidRPr="0050495C">
        <w:rPr>
          <w:rFonts w:cstheme="minorHAnsi"/>
          <w:i/>
          <w:iCs/>
          <w:color w:val="4F81BD" w:themeColor="accent1"/>
        </w:rPr>
        <w:t>Les membres du CLS (y compris les femmes, les jeunes et les groupes minoritaires) sur la base du décret institutionnel du CLS pour le Tanganyika sont identifiés et validés</w:t>
      </w:r>
    </w:p>
    <w:p w14:paraId="024B2F14" w14:textId="77777777" w:rsidR="0050495C" w:rsidRPr="0050495C" w:rsidRDefault="0050495C" w:rsidP="0050495C">
      <w:pPr>
        <w:pStyle w:val="ListParagraph"/>
        <w:widowControl/>
        <w:numPr>
          <w:ilvl w:val="0"/>
          <w:numId w:val="9"/>
        </w:numPr>
        <w:spacing w:after="160" w:line="259" w:lineRule="auto"/>
        <w:jc w:val="both"/>
        <w:rPr>
          <w:rFonts w:cstheme="minorHAnsi"/>
          <w:i/>
          <w:iCs/>
          <w:color w:val="4F81BD" w:themeColor="accent1"/>
        </w:rPr>
      </w:pPr>
      <w:r w:rsidRPr="0050495C">
        <w:rPr>
          <w:rFonts w:cstheme="minorHAnsi"/>
          <w:i/>
          <w:iCs/>
          <w:color w:val="4F81BD" w:themeColor="accent1"/>
        </w:rPr>
        <w:t>Une formation aux membres du CLS sur la résolution des conflits, la médiation, les systèmes d'alerte précoce et la planification stratégique est dispensée</w:t>
      </w:r>
    </w:p>
    <w:p w14:paraId="1959C3CC" w14:textId="77777777" w:rsidR="0050495C" w:rsidRPr="0050495C" w:rsidRDefault="0050495C" w:rsidP="0050495C">
      <w:pPr>
        <w:pStyle w:val="ListParagraph"/>
        <w:widowControl/>
        <w:numPr>
          <w:ilvl w:val="0"/>
          <w:numId w:val="9"/>
        </w:numPr>
        <w:spacing w:after="160" w:line="259" w:lineRule="auto"/>
        <w:jc w:val="both"/>
        <w:rPr>
          <w:rFonts w:cstheme="minorHAnsi"/>
          <w:i/>
          <w:iCs/>
          <w:color w:val="4F81BD" w:themeColor="accent1"/>
        </w:rPr>
      </w:pPr>
      <w:r w:rsidRPr="0050495C">
        <w:rPr>
          <w:rFonts w:cstheme="minorHAnsi"/>
          <w:i/>
          <w:iCs/>
          <w:color w:val="4F81BD" w:themeColor="accent1"/>
        </w:rPr>
        <w:t>Les DLS et les PLS sont mis à jour ou développés et validés.</w:t>
      </w:r>
    </w:p>
    <w:p w14:paraId="23B91F10" w14:textId="77777777" w:rsidR="0050495C" w:rsidRPr="0050495C" w:rsidRDefault="0050495C" w:rsidP="0050495C">
      <w:pPr>
        <w:pStyle w:val="ListParagraph"/>
        <w:widowControl/>
        <w:numPr>
          <w:ilvl w:val="0"/>
          <w:numId w:val="9"/>
        </w:numPr>
        <w:spacing w:after="160" w:line="259" w:lineRule="auto"/>
        <w:jc w:val="both"/>
        <w:rPr>
          <w:rFonts w:cstheme="minorHAnsi"/>
          <w:i/>
          <w:iCs/>
          <w:color w:val="4F81BD" w:themeColor="accent1"/>
        </w:rPr>
      </w:pPr>
      <w:r w:rsidRPr="0050495C">
        <w:rPr>
          <w:rFonts w:cstheme="minorHAnsi"/>
          <w:i/>
          <w:iCs/>
          <w:color w:val="4F81BD" w:themeColor="accent1"/>
        </w:rPr>
        <w:t>Des ateliers de campagnes de vulgarisation et sensibilisation sur le DLS et le PLS sont tenus.</w:t>
      </w:r>
    </w:p>
    <w:p w14:paraId="0FE96AE7" w14:textId="77777777" w:rsidR="0050495C" w:rsidRPr="0050495C" w:rsidRDefault="0050495C" w:rsidP="0050495C">
      <w:pPr>
        <w:pStyle w:val="ListParagraph"/>
        <w:widowControl/>
        <w:numPr>
          <w:ilvl w:val="0"/>
          <w:numId w:val="9"/>
        </w:numPr>
        <w:spacing w:after="160" w:line="259" w:lineRule="auto"/>
        <w:jc w:val="both"/>
        <w:rPr>
          <w:rFonts w:cstheme="minorHAnsi"/>
          <w:i/>
          <w:iCs/>
          <w:color w:val="4F81BD" w:themeColor="accent1"/>
        </w:rPr>
      </w:pPr>
      <w:r w:rsidRPr="0050495C">
        <w:rPr>
          <w:rFonts w:cstheme="minorHAnsi"/>
          <w:i/>
          <w:iCs/>
          <w:color w:val="4F81BD" w:themeColor="accent1"/>
        </w:rPr>
        <w:t>Des mécanismes de communication régulière entre les comités CLS et la PNC sont mis en place et fonctionnels</w:t>
      </w:r>
    </w:p>
    <w:p w14:paraId="08B6DB57" w14:textId="77777777" w:rsidR="0050495C" w:rsidRPr="0050495C" w:rsidRDefault="0050495C" w:rsidP="0050495C">
      <w:pPr>
        <w:pStyle w:val="ListParagraph"/>
        <w:widowControl/>
        <w:numPr>
          <w:ilvl w:val="0"/>
          <w:numId w:val="9"/>
        </w:numPr>
        <w:spacing w:after="160" w:line="259" w:lineRule="auto"/>
        <w:jc w:val="both"/>
        <w:rPr>
          <w:rFonts w:cstheme="minorHAnsi"/>
          <w:i/>
          <w:iCs/>
          <w:color w:val="4F81BD" w:themeColor="accent1"/>
        </w:rPr>
      </w:pPr>
      <w:r w:rsidRPr="0050495C">
        <w:rPr>
          <w:rFonts w:cstheme="minorHAnsi"/>
          <w:i/>
          <w:iCs/>
          <w:color w:val="4F81BD" w:themeColor="accent1"/>
        </w:rPr>
        <w:t>Les communautés sont impliquées dans des campagnes de sensibilisation aux avantages de la police de proximité par le biais de programmes radio, de la distribution d'infographies et de réunions communautaires.</w:t>
      </w:r>
    </w:p>
    <w:p w14:paraId="6A094DA7" w14:textId="77777777" w:rsidR="0050495C" w:rsidRPr="0050495C" w:rsidRDefault="0050495C" w:rsidP="0050495C">
      <w:pPr>
        <w:pStyle w:val="ListParagraph"/>
        <w:widowControl/>
        <w:numPr>
          <w:ilvl w:val="0"/>
          <w:numId w:val="9"/>
        </w:numPr>
        <w:spacing w:after="160" w:line="259" w:lineRule="auto"/>
        <w:jc w:val="both"/>
        <w:rPr>
          <w:rFonts w:cstheme="minorHAnsi"/>
          <w:i/>
          <w:iCs/>
          <w:color w:val="4F81BD" w:themeColor="accent1"/>
        </w:rPr>
      </w:pPr>
      <w:r w:rsidRPr="0050495C">
        <w:rPr>
          <w:rFonts w:cstheme="minorHAnsi"/>
          <w:i/>
          <w:iCs/>
          <w:color w:val="4F81BD" w:themeColor="accent1"/>
        </w:rPr>
        <w:t>Les CLS identifient, sur base des PLS validés, des projets communautaires de sécurité et les mettent en œuvre grâce à l’accompagnement fourni</w:t>
      </w:r>
    </w:p>
    <w:p w14:paraId="44FD0017" w14:textId="77777777" w:rsidR="00FD5474" w:rsidRPr="00FD5474" w:rsidRDefault="00FD5474" w:rsidP="00FD5474">
      <w:pPr>
        <w:widowControl/>
        <w:spacing w:after="160" w:line="259" w:lineRule="auto"/>
        <w:jc w:val="both"/>
        <w:rPr>
          <w:i/>
          <w:color w:val="4F81BD" w:themeColor="accent1"/>
        </w:rPr>
      </w:pPr>
    </w:p>
    <w:p w14:paraId="211B272B" w14:textId="0DD0C1A5" w:rsidR="0024366C" w:rsidRPr="00D00051" w:rsidRDefault="00C529A8" w:rsidP="00846B44">
      <w:pPr>
        <w:tabs>
          <w:tab w:val="left" w:pos="840"/>
        </w:tabs>
        <w:spacing w:after="120" w:line="240" w:lineRule="auto"/>
        <w:ind w:left="993"/>
        <w:rPr>
          <w:rFonts w:eastAsia="Arial" w:cstheme="minorHAnsi"/>
        </w:rPr>
      </w:pPr>
      <w:r>
        <w:t>7</w:t>
      </w:r>
      <w:r>
        <w:tab/>
      </w:r>
      <w:r>
        <w:rPr>
          <w:b/>
          <w:i/>
        </w:rPr>
        <w:t xml:space="preserve">Budget </w:t>
      </w:r>
      <w:r w:rsidR="00FD5474">
        <w:rPr>
          <w:b/>
          <w:i/>
        </w:rPr>
        <w:t>et proposition narrative</w:t>
      </w:r>
    </w:p>
    <w:p w14:paraId="7C3E4FFB" w14:textId="6F58A2BF" w:rsidR="00FD5474" w:rsidRDefault="00FD5474" w:rsidP="00FD5474">
      <w:pPr>
        <w:pStyle w:val="Default"/>
        <w:jc w:val="both"/>
        <w:rPr>
          <w:rFonts w:asciiTheme="minorHAnsi" w:hAnsiTheme="minorHAnsi" w:cstheme="minorBidi"/>
          <w:i/>
          <w:color w:val="4F81BD" w:themeColor="accent1"/>
          <w:sz w:val="22"/>
          <w:szCs w:val="22"/>
          <w:lang w:val="fr-FR"/>
        </w:rPr>
      </w:pPr>
      <w:r w:rsidRPr="00FD5474">
        <w:rPr>
          <w:rFonts w:asciiTheme="minorHAnsi" w:hAnsiTheme="minorHAnsi" w:cstheme="minorBidi"/>
          <w:i/>
          <w:color w:val="4F81BD" w:themeColor="accent1"/>
          <w:sz w:val="22"/>
          <w:szCs w:val="22"/>
          <w:lang w:val="fr-FR"/>
        </w:rPr>
        <w:t xml:space="preserve">Chaque soumissionnaire devra rédiger une proposition narrative (ANNEXE D) et une proposition budgétaire (ANNEXE E) et compiler les autres documents programmatiques (ANNEXE </w:t>
      </w:r>
      <w:r w:rsidR="0059773B">
        <w:rPr>
          <w:rFonts w:asciiTheme="minorHAnsi" w:hAnsiTheme="minorHAnsi" w:cstheme="minorBidi"/>
          <w:i/>
          <w:color w:val="4F81BD" w:themeColor="accent1"/>
          <w:sz w:val="22"/>
          <w:szCs w:val="22"/>
          <w:lang w:val="fr-FR"/>
        </w:rPr>
        <w:t>B</w:t>
      </w:r>
      <w:r w:rsidRPr="00FD5474">
        <w:rPr>
          <w:rFonts w:asciiTheme="minorHAnsi" w:hAnsiTheme="minorHAnsi" w:cstheme="minorBidi"/>
          <w:i/>
          <w:color w:val="4F81BD" w:themeColor="accent1"/>
          <w:sz w:val="22"/>
          <w:szCs w:val="22"/>
          <w:lang w:val="fr-FR"/>
        </w:rPr>
        <w:t>) en fonction des résultats escomptés dans le T</w:t>
      </w:r>
      <w:r w:rsidR="00182A80">
        <w:rPr>
          <w:rFonts w:asciiTheme="minorHAnsi" w:hAnsiTheme="minorHAnsi" w:cstheme="minorBidi"/>
          <w:i/>
          <w:color w:val="4F81BD" w:themeColor="accent1"/>
          <w:sz w:val="22"/>
          <w:szCs w:val="22"/>
          <w:lang w:val="fr-FR"/>
        </w:rPr>
        <w:t>D</w:t>
      </w:r>
      <w:r w:rsidRPr="00FD5474">
        <w:rPr>
          <w:rFonts w:asciiTheme="minorHAnsi" w:hAnsiTheme="minorHAnsi" w:cstheme="minorBidi"/>
          <w:i/>
          <w:color w:val="4F81BD" w:themeColor="accent1"/>
          <w:sz w:val="22"/>
          <w:szCs w:val="22"/>
          <w:lang w:val="fr-FR"/>
        </w:rPr>
        <w:t xml:space="preserve">R (ANNEXE </w:t>
      </w:r>
      <w:r w:rsidR="0059773B">
        <w:rPr>
          <w:rFonts w:asciiTheme="minorHAnsi" w:hAnsiTheme="minorHAnsi" w:cstheme="minorBidi"/>
          <w:i/>
          <w:color w:val="4F81BD" w:themeColor="accent1"/>
          <w:sz w:val="22"/>
          <w:szCs w:val="22"/>
          <w:lang w:val="fr-FR"/>
        </w:rPr>
        <w:t>A</w:t>
      </w:r>
      <w:r w:rsidRPr="00FD5474">
        <w:rPr>
          <w:rFonts w:asciiTheme="minorHAnsi" w:hAnsiTheme="minorHAnsi" w:cstheme="minorBidi"/>
          <w:i/>
          <w:color w:val="4F81BD" w:themeColor="accent1"/>
          <w:sz w:val="22"/>
          <w:szCs w:val="22"/>
          <w:lang w:val="fr-FR"/>
        </w:rPr>
        <w:t xml:space="preserve">). </w:t>
      </w:r>
    </w:p>
    <w:p w14:paraId="7F2D9B2C" w14:textId="77777777" w:rsidR="00FD5474" w:rsidRPr="00FD5474" w:rsidRDefault="00FD5474" w:rsidP="00FD5474">
      <w:pPr>
        <w:pStyle w:val="Default"/>
        <w:jc w:val="both"/>
        <w:rPr>
          <w:rFonts w:asciiTheme="minorHAnsi" w:hAnsiTheme="minorHAnsi" w:cstheme="minorBidi"/>
          <w:i/>
          <w:color w:val="4F81BD" w:themeColor="accent1"/>
          <w:sz w:val="22"/>
          <w:szCs w:val="22"/>
          <w:lang w:val="fr-FR"/>
        </w:rPr>
      </w:pPr>
    </w:p>
    <w:p w14:paraId="242D1677" w14:textId="7D8F5B2C" w:rsidR="00B50929" w:rsidRPr="00FD5474" w:rsidRDefault="00FD5474" w:rsidP="00FD5474">
      <w:pPr>
        <w:tabs>
          <w:tab w:val="left" w:pos="840"/>
        </w:tabs>
        <w:spacing w:after="120" w:line="240" w:lineRule="auto"/>
        <w:jc w:val="both"/>
        <w:rPr>
          <w:i/>
          <w:color w:val="4F81BD" w:themeColor="accent1"/>
        </w:rPr>
      </w:pPr>
      <w:r w:rsidRPr="00FD5474">
        <w:rPr>
          <w:i/>
          <w:color w:val="4F81BD" w:themeColor="accent1"/>
        </w:rPr>
        <w:t>Ces documents seront considérés pour l’évaluation de la pertinence et de la qualité de l’intervention pour les soumissionnaires qui ont été préqualifiés pour la phase de la sélection. Le budget et la proposition narrative ne seront pas considérés définitifs, mais ils pourraient faire l’objet de négociation précontractuelle entre l’OIM et le soumissionnaire sélectionné.</w:t>
      </w:r>
    </w:p>
    <w:p w14:paraId="2BE22055" w14:textId="521FAC98" w:rsidR="0024366C" w:rsidRPr="00D00051" w:rsidRDefault="00C529A8" w:rsidP="00846B44">
      <w:pPr>
        <w:tabs>
          <w:tab w:val="left" w:pos="840"/>
        </w:tabs>
        <w:spacing w:after="120" w:line="240" w:lineRule="auto"/>
        <w:ind w:left="993"/>
        <w:rPr>
          <w:rFonts w:eastAsia="Arial" w:cstheme="minorHAnsi"/>
          <w:b/>
          <w:bCs/>
          <w:i/>
        </w:rPr>
      </w:pPr>
      <w:r>
        <w:t>8</w:t>
      </w:r>
      <w:r>
        <w:tab/>
      </w:r>
      <w:r>
        <w:rPr>
          <w:b/>
          <w:i/>
        </w:rPr>
        <w:t>Autres informations</w:t>
      </w:r>
    </w:p>
    <w:p w14:paraId="6182A434" w14:textId="18C4BDBB" w:rsidR="00182A80" w:rsidRPr="00714654" w:rsidRDefault="00182A80" w:rsidP="00182A80">
      <w:pPr>
        <w:jc w:val="both"/>
        <w:rPr>
          <w:rFonts w:cstheme="minorHAnsi"/>
          <w:i/>
          <w:iCs/>
          <w:color w:val="4F81BD" w:themeColor="accent1"/>
        </w:rPr>
      </w:pPr>
      <w:r w:rsidRPr="00714654">
        <w:rPr>
          <w:rFonts w:cstheme="minorHAnsi"/>
          <w:i/>
          <w:iCs/>
          <w:color w:val="4F81BD" w:themeColor="accent1"/>
        </w:rPr>
        <w:t>L’OIM souhaiterait placer les Co</w:t>
      </w:r>
      <w:r w:rsidR="0050495C">
        <w:rPr>
          <w:rFonts w:cstheme="minorHAnsi"/>
          <w:i/>
          <w:iCs/>
          <w:color w:val="4F81BD" w:themeColor="accent1"/>
        </w:rPr>
        <w:t>mités Locaux</w:t>
      </w:r>
      <w:r w:rsidR="001078AE">
        <w:rPr>
          <w:rFonts w:cstheme="minorHAnsi"/>
          <w:i/>
          <w:iCs/>
          <w:color w:val="4F81BD" w:themeColor="accent1"/>
        </w:rPr>
        <w:t xml:space="preserve"> de</w:t>
      </w:r>
      <w:r w:rsidRPr="00714654">
        <w:rPr>
          <w:rFonts w:cstheme="minorHAnsi"/>
          <w:i/>
          <w:iCs/>
          <w:color w:val="4F81BD" w:themeColor="accent1"/>
        </w:rPr>
        <w:t xml:space="preserve"> </w:t>
      </w:r>
      <w:r w:rsidR="001078AE">
        <w:rPr>
          <w:rFonts w:cstheme="minorHAnsi"/>
          <w:i/>
          <w:iCs/>
          <w:color w:val="4F81BD" w:themeColor="accent1"/>
        </w:rPr>
        <w:t>S</w:t>
      </w:r>
      <w:r w:rsidRPr="00714654">
        <w:rPr>
          <w:rFonts w:cstheme="minorHAnsi"/>
          <w:i/>
          <w:iCs/>
          <w:color w:val="4F81BD" w:themeColor="accent1"/>
        </w:rPr>
        <w:t xml:space="preserve">écurité (CLS) ainsi que les Forums de quartiers et de villages au centre de cette activité en associant un plus grand nombre de femmes, de jeunes et des personnes vulnérables (défavorisées) d’un </w:t>
      </w:r>
      <w:r w:rsidR="00714654" w:rsidRPr="00714654">
        <w:rPr>
          <w:rFonts w:cstheme="minorHAnsi"/>
          <w:i/>
          <w:iCs/>
          <w:color w:val="4F81BD" w:themeColor="accent1"/>
        </w:rPr>
        <w:t>côté</w:t>
      </w:r>
      <w:r w:rsidRPr="00714654">
        <w:rPr>
          <w:rFonts w:cstheme="minorHAnsi"/>
          <w:i/>
          <w:iCs/>
          <w:color w:val="4F81BD" w:themeColor="accent1"/>
        </w:rPr>
        <w:t xml:space="preserve"> et de l’autre, puisque la sécurité est un devoir régalien de l’Etat, impliquer les autorités locales, les ministères ayant les affaires intérieures et le plan dans leurs attributions ainsi que l’inspection de la territoriale sans oublier la société civile. Les citoyens ordinaires devraient être associés à toutes les discussions et échanges au sujet de la sécurité en tant que bénéficiaires de celle-ci dans l’optique de consolider les acquis de la Paix légués par la Monusco et d’autres partenaires œuvrant dans le même secteur. L’inclusion et la participation sont les maîtres-mots de cette approche. Les IP recrutés devront donc travailler pour capaciter les C</w:t>
      </w:r>
      <w:r w:rsidR="001078AE">
        <w:rPr>
          <w:rFonts w:cstheme="minorHAnsi"/>
          <w:i/>
          <w:iCs/>
          <w:color w:val="4F81BD" w:themeColor="accent1"/>
        </w:rPr>
        <w:t>LS</w:t>
      </w:r>
      <w:r w:rsidRPr="00714654">
        <w:rPr>
          <w:rFonts w:cstheme="minorHAnsi"/>
          <w:i/>
          <w:iCs/>
          <w:color w:val="4F81BD" w:themeColor="accent1"/>
        </w:rPr>
        <w:t xml:space="preserve"> afin de leur permettre de voler de leurs propres ailes au terme du Projet dans leurs Entités respectives. </w:t>
      </w:r>
    </w:p>
    <w:p w14:paraId="230C4D35" w14:textId="5D924E4A" w:rsidR="0024366C" w:rsidRPr="00B50929" w:rsidRDefault="00C529A8" w:rsidP="00846B44">
      <w:pPr>
        <w:tabs>
          <w:tab w:val="left" w:pos="840"/>
        </w:tabs>
        <w:spacing w:after="120" w:line="240" w:lineRule="auto"/>
        <w:ind w:left="993"/>
        <w:rPr>
          <w:rFonts w:eastAsia="Arial" w:cstheme="minorHAnsi"/>
        </w:rPr>
      </w:pPr>
      <w:r>
        <w:t>9</w:t>
      </w:r>
      <w:r>
        <w:tab/>
      </w:r>
      <w:r>
        <w:rPr>
          <w:b/>
          <w:i/>
        </w:rPr>
        <w:t>Critères de sélection</w:t>
      </w:r>
    </w:p>
    <w:p w14:paraId="29FAA17A" w14:textId="77777777" w:rsidR="0024366C" w:rsidRPr="00675063" w:rsidRDefault="0024366C" w:rsidP="00846B44">
      <w:pPr>
        <w:spacing w:after="120" w:line="240" w:lineRule="auto"/>
        <w:ind w:left="993"/>
        <w:rPr>
          <w:rFonts w:cstheme="minorHAnsi"/>
          <w:sz w:val="3"/>
          <w:szCs w:val="3"/>
        </w:rPr>
      </w:pPr>
    </w:p>
    <w:tbl>
      <w:tblPr>
        <w:tblW w:w="0" w:type="auto"/>
        <w:tblInd w:w="837" w:type="dxa"/>
        <w:tblLayout w:type="fixed"/>
        <w:tblCellMar>
          <w:left w:w="0" w:type="dxa"/>
          <w:right w:w="0" w:type="dxa"/>
        </w:tblCellMar>
        <w:tblLook w:val="01E0" w:firstRow="1" w:lastRow="1" w:firstColumn="1" w:lastColumn="1" w:noHBand="0" w:noVBand="0"/>
      </w:tblPr>
      <w:tblGrid>
        <w:gridCol w:w="3129"/>
        <w:gridCol w:w="5085"/>
        <w:gridCol w:w="895"/>
      </w:tblGrid>
      <w:tr w:rsidR="0024366C" w:rsidRPr="00675063" w14:paraId="23AF61D1" w14:textId="77777777" w:rsidTr="00FD5474">
        <w:trPr>
          <w:trHeight w:hRule="exact" w:val="354"/>
        </w:trPr>
        <w:tc>
          <w:tcPr>
            <w:tcW w:w="3129" w:type="dxa"/>
            <w:tcBorders>
              <w:top w:val="single" w:sz="2" w:space="0" w:color="000000"/>
              <w:left w:val="single" w:sz="2" w:space="0" w:color="000000"/>
              <w:bottom w:val="single" w:sz="2" w:space="0" w:color="000000"/>
              <w:right w:val="single" w:sz="2" w:space="0" w:color="000000"/>
            </w:tcBorders>
            <w:shd w:val="clear" w:color="auto" w:fill="A8A8A8"/>
          </w:tcPr>
          <w:p w14:paraId="0F119A24" w14:textId="77777777" w:rsidR="0024366C" w:rsidRPr="00675063" w:rsidRDefault="00C529A8" w:rsidP="0091364B">
            <w:pPr>
              <w:spacing w:after="120" w:line="240" w:lineRule="auto"/>
              <w:rPr>
                <w:rFonts w:eastAsia="Arial" w:cstheme="minorHAnsi"/>
                <w:sz w:val="20"/>
                <w:szCs w:val="20"/>
              </w:rPr>
            </w:pPr>
            <w:r>
              <w:rPr>
                <w:color w:val="FFFFFF"/>
                <w:sz w:val="20"/>
              </w:rPr>
              <w:lastRenderedPageBreak/>
              <w:t>Nom</w:t>
            </w:r>
          </w:p>
        </w:tc>
        <w:tc>
          <w:tcPr>
            <w:tcW w:w="5085" w:type="dxa"/>
            <w:tcBorders>
              <w:top w:val="single" w:sz="2" w:space="0" w:color="000000"/>
              <w:left w:val="single" w:sz="2" w:space="0" w:color="000000"/>
              <w:bottom w:val="single" w:sz="2" w:space="0" w:color="000000"/>
              <w:right w:val="single" w:sz="2" w:space="0" w:color="000000"/>
            </w:tcBorders>
            <w:shd w:val="clear" w:color="auto" w:fill="A8A8A8"/>
          </w:tcPr>
          <w:p w14:paraId="3153223C" w14:textId="77777777" w:rsidR="0024366C" w:rsidRPr="00675063" w:rsidRDefault="00C529A8" w:rsidP="0091364B">
            <w:pPr>
              <w:spacing w:after="120" w:line="240" w:lineRule="auto"/>
              <w:rPr>
                <w:rFonts w:eastAsia="Arial" w:cstheme="minorHAnsi"/>
                <w:sz w:val="20"/>
                <w:szCs w:val="20"/>
              </w:rPr>
            </w:pPr>
            <w:r>
              <w:rPr>
                <w:color w:val="FFFFFF"/>
                <w:sz w:val="20"/>
              </w:rPr>
              <w:t>Description</w:t>
            </w:r>
          </w:p>
        </w:tc>
        <w:tc>
          <w:tcPr>
            <w:tcW w:w="895" w:type="dxa"/>
            <w:tcBorders>
              <w:top w:val="single" w:sz="2" w:space="0" w:color="000000"/>
              <w:left w:val="single" w:sz="2" w:space="0" w:color="000000"/>
              <w:bottom w:val="single" w:sz="2" w:space="0" w:color="000000"/>
              <w:right w:val="single" w:sz="2" w:space="0" w:color="000000"/>
            </w:tcBorders>
            <w:shd w:val="clear" w:color="auto" w:fill="A8A8A8"/>
          </w:tcPr>
          <w:p w14:paraId="5D551264" w14:textId="38112F46" w:rsidR="0024366C" w:rsidRPr="00675063" w:rsidRDefault="0076685B" w:rsidP="00527DEB">
            <w:pPr>
              <w:spacing w:after="120" w:line="240" w:lineRule="auto"/>
              <w:jc w:val="center"/>
              <w:rPr>
                <w:rFonts w:eastAsia="Arial" w:cstheme="minorHAnsi"/>
                <w:sz w:val="20"/>
                <w:szCs w:val="20"/>
              </w:rPr>
            </w:pPr>
            <w:r>
              <w:rPr>
                <w:color w:val="FFFFFF"/>
                <w:sz w:val="20"/>
              </w:rPr>
              <w:t>Crédits</w:t>
            </w:r>
          </w:p>
        </w:tc>
      </w:tr>
      <w:tr w:rsidR="001B6457" w:rsidRPr="00675063" w14:paraId="05B01405" w14:textId="77777777" w:rsidTr="001B6457">
        <w:trPr>
          <w:trHeight w:hRule="exact" w:val="1118"/>
        </w:trPr>
        <w:tc>
          <w:tcPr>
            <w:tcW w:w="3129" w:type="dxa"/>
            <w:tcBorders>
              <w:top w:val="single" w:sz="2" w:space="0" w:color="000000"/>
              <w:left w:val="single" w:sz="2" w:space="0" w:color="000000"/>
              <w:bottom w:val="single" w:sz="2" w:space="0" w:color="000000"/>
              <w:right w:val="single" w:sz="2" w:space="0" w:color="000000"/>
            </w:tcBorders>
          </w:tcPr>
          <w:p w14:paraId="6CAE35F9" w14:textId="77777777" w:rsidR="001B6457" w:rsidRDefault="001B6457" w:rsidP="001B6457">
            <w:pPr>
              <w:pStyle w:val="Default"/>
              <w:rPr>
                <w:color w:val="auto"/>
              </w:rPr>
            </w:pPr>
          </w:p>
          <w:p w14:paraId="725979C1" w14:textId="66850554" w:rsidR="001B6457" w:rsidRPr="001B6457" w:rsidRDefault="00692F56" w:rsidP="001B6457">
            <w:pPr>
              <w:pStyle w:val="Default"/>
              <w:numPr>
                <w:ilvl w:val="0"/>
                <w:numId w:val="15"/>
              </w:numPr>
              <w:rPr>
                <w:rFonts w:asciiTheme="minorHAnsi" w:hAnsiTheme="minorHAnsi" w:cstheme="minorBidi"/>
                <w:color w:val="auto"/>
                <w:sz w:val="20"/>
                <w:szCs w:val="22"/>
                <w:lang w:val="fr-FR"/>
              </w:rPr>
            </w:pPr>
            <w:r>
              <w:rPr>
                <w:rFonts w:asciiTheme="minorHAnsi" w:hAnsiTheme="minorHAnsi" w:cstheme="minorBidi"/>
                <w:color w:val="auto"/>
                <w:sz w:val="20"/>
                <w:szCs w:val="22"/>
                <w:lang w:val="fr-FR"/>
              </w:rPr>
              <w:t xml:space="preserve"> </w:t>
            </w:r>
            <w:r w:rsidR="001B6457" w:rsidRPr="001B6457">
              <w:rPr>
                <w:rFonts w:asciiTheme="minorHAnsi" w:hAnsiTheme="minorHAnsi" w:cstheme="minorBidi"/>
                <w:color w:val="auto"/>
                <w:sz w:val="20"/>
                <w:szCs w:val="22"/>
                <w:lang w:val="fr-FR"/>
              </w:rPr>
              <w:t xml:space="preserve">Structure Organisationnelle </w:t>
            </w:r>
          </w:p>
          <w:p w14:paraId="4A98123B" w14:textId="77777777" w:rsidR="001B6457" w:rsidRDefault="001B6457" w:rsidP="0091364B">
            <w:pPr>
              <w:spacing w:after="120" w:line="240" w:lineRule="auto"/>
              <w:rPr>
                <w:color w:val="FFFFFF"/>
                <w:sz w:val="20"/>
              </w:rPr>
            </w:pPr>
          </w:p>
        </w:tc>
        <w:tc>
          <w:tcPr>
            <w:tcW w:w="5085" w:type="dxa"/>
            <w:tcBorders>
              <w:top w:val="single" w:sz="2" w:space="0" w:color="000000"/>
              <w:left w:val="single" w:sz="2" w:space="0" w:color="000000"/>
              <w:bottom w:val="single" w:sz="2" w:space="0" w:color="000000"/>
              <w:right w:val="single" w:sz="2" w:space="0" w:color="000000"/>
            </w:tcBorders>
          </w:tcPr>
          <w:p w14:paraId="7134A82B" w14:textId="0486777E" w:rsidR="001B6457" w:rsidRPr="001B6457" w:rsidRDefault="001B6457" w:rsidP="001B6457">
            <w:pPr>
              <w:pStyle w:val="Default"/>
              <w:rPr>
                <w:sz w:val="16"/>
                <w:szCs w:val="16"/>
                <w:lang w:val="fr-FR"/>
              </w:rPr>
            </w:pPr>
            <w:r w:rsidRPr="001B6457">
              <w:rPr>
                <w:sz w:val="16"/>
                <w:szCs w:val="16"/>
                <w:lang w:val="fr-FR"/>
              </w:rPr>
              <w:t xml:space="preserve">Une structure/un organigramme mis à jour, CV des membres du personnel clé, zones d’interventions, nombre de personnel, fonctions opérationnelles, ressources adéquats (finances, logistique, mise en œuvre, fusions et acquisitions), lignes directrices en matière de gestion du personnel, procédures de sécurité pour le personnel, etc. </w:t>
            </w:r>
          </w:p>
          <w:p w14:paraId="47002B63" w14:textId="77777777" w:rsidR="001B6457" w:rsidRDefault="001B6457" w:rsidP="0091364B">
            <w:pPr>
              <w:spacing w:after="120" w:line="240" w:lineRule="auto"/>
              <w:rPr>
                <w:color w:val="FFFFFF"/>
                <w:sz w:val="20"/>
              </w:rPr>
            </w:pPr>
          </w:p>
        </w:tc>
        <w:tc>
          <w:tcPr>
            <w:tcW w:w="895" w:type="dxa"/>
            <w:tcBorders>
              <w:top w:val="single" w:sz="2" w:space="0" w:color="000000"/>
              <w:left w:val="single" w:sz="2" w:space="0" w:color="000000"/>
              <w:bottom w:val="single" w:sz="2" w:space="0" w:color="000000"/>
              <w:right w:val="single" w:sz="2" w:space="0" w:color="000000"/>
            </w:tcBorders>
          </w:tcPr>
          <w:p w14:paraId="6C8D5984" w14:textId="4CFDCAFC" w:rsidR="001B6457" w:rsidRDefault="00B70FC7" w:rsidP="00527DEB">
            <w:pPr>
              <w:spacing w:after="120" w:line="240" w:lineRule="auto"/>
              <w:jc w:val="center"/>
              <w:rPr>
                <w:color w:val="FFFFFF"/>
                <w:sz w:val="20"/>
              </w:rPr>
            </w:pPr>
            <w:r w:rsidRPr="00B70FC7">
              <w:rPr>
                <w:sz w:val="20"/>
              </w:rPr>
              <w:t>15</w:t>
            </w:r>
          </w:p>
        </w:tc>
      </w:tr>
      <w:tr w:rsidR="00780E9E" w:rsidRPr="00675063" w14:paraId="451568AD" w14:textId="77777777" w:rsidTr="00FD5474">
        <w:trPr>
          <w:trHeight w:hRule="exact" w:val="2110"/>
        </w:trPr>
        <w:tc>
          <w:tcPr>
            <w:tcW w:w="3129" w:type="dxa"/>
            <w:tcBorders>
              <w:top w:val="single" w:sz="2" w:space="0" w:color="000000"/>
              <w:left w:val="single" w:sz="2" w:space="0" w:color="000000"/>
              <w:bottom w:val="single" w:sz="2" w:space="0" w:color="000000"/>
              <w:right w:val="single" w:sz="2" w:space="0" w:color="000000"/>
            </w:tcBorders>
          </w:tcPr>
          <w:p w14:paraId="1A486073" w14:textId="77777777" w:rsidR="00780E9E" w:rsidRPr="00675063" w:rsidRDefault="00780E9E" w:rsidP="00780E9E">
            <w:pPr>
              <w:spacing w:before="10" w:after="0" w:line="100" w:lineRule="exact"/>
              <w:rPr>
                <w:rFonts w:cstheme="minorHAnsi"/>
                <w:sz w:val="10"/>
                <w:szCs w:val="10"/>
              </w:rPr>
            </w:pPr>
          </w:p>
          <w:p w14:paraId="25DC23E0" w14:textId="2BA7FC41" w:rsidR="00780E9E" w:rsidRPr="00675063" w:rsidRDefault="00692F56" w:rsidP="00692F56">
            <w:pPr>
              <w:spacing w:after="120" w:line="240" w:lineRule="auto"/>
              <w:rPr>
                <w:rFonts w:eastAsia="Arial" w:cstheme="minorHAnsi"/>
                <w:sz w:val="20"/>
                <w:szCs w:val="20"/>
              </w:rPr>
            </w:pPr>
            <w:r>
              <w:rPr>
                <w:sz w:val="20"/>
              </w:rPr>
              <w:t xml:space="preserve"> </w:t>
            </w:r>
            <w:r w:rsidR="00780E9E">
              <w:rPr>
                <w:sz w:val="20"/>
              </w:rPr>
              <w:t>Pertinence de la proposition quant à l’atteinte des résultats escomptés</w:t>
            </w:r>
          </w:p>
        </w:tc>
        <w:tc>
          <w:tcPr>
            <w:tcW w:w="5085" w:type="dxa"/>
            <w:tcBorders>
              <w:top w:val="single" w:sz="2" w:space="0" w:color="000000"/>
              <w:left w:val="single" w:sz="2" w:space="0" w:color="000000"/>
              <w:bottom w:val="single" w:sz="2" w:space="0" w:color="000000"/>
              <w:right w:val="single" w:sz="2" w:space="0" w:color="000000"/>
            </w:tcBorders>
          </w:tcPr>
          <w:p w14:paraId="377D57F4" w14:textId="21602A99" w:rsidR="00780E9E" w:rsidRPr="00687115" w:rsidRDefault="00780E9E" w:rsidP="00FD5474">
            <w:pPr>
              <w:spacing w:after="120" w:line="240" w:lineRule="auto"/>
              <w:ind w:left="74"/>
              <w:rPr>
                <w:rFonts w:eastAsia="Arial" w:cstheme="minorHAnsi"/>
                <w:sz w:val="16"/>
                <w:szCs w:val="16"/>
              </w:rPr>
            </w:pPr>
            <w:r>
              <w:rPr>
                <w:sz w:val="16"/>
              </w:rPr>
              <w:t xml:space="preserve">Pertinence de la proposition pour atteindre les résultats </w:t>
            </w:r>
            <w:r w:rsidR="00846B44">
              <w:rPr>
                <w:sz w:val="16"/>
              </w:rPr>
              <w:t>escomptés</w:t>
            </w:r>
            <w:r w:rsidR="00CE2DF1">
              <w:rPr>
                <w:sz w:val="16"/>
              </w:rPr>
              <w:t> </w:t>
            </w:r>
            <w:r w:rsidR="00846B44">
              <w:rPr>
                <w:sz w:val="16"/>
              </w:rPr>
              <w:t>;</w:t>
            </w:r>
            <w:r>
              <w:rPr>
                <w:sz w:val="16"/>
              </w:rPr>
              <w:t xml:space="preserve"> expertise </w:t>
            </w:r>
            <w:r w:rsidR="00D4093D">
              <w:rPr>
                <w:sz w:val="16"/>
              </w:rPr>
              <w:t>liée aux</w:t>
            </w:r>
            <w:r>
              <w:rPr>
                <w:sz w:val="16"/>
              </w:rPr>
              <w:t xml:space="preserve"> compétences de base, compétences en matière de budgétisation, de communication, de négociation et de </w:t>
            </w:r>
            <w:r w:rsidR="00D4093D">
              <w:rPr>
                <w:sz w:val="16"/>
              </w:rPr>
              <w:t>participation</w:t>
            </w:r>
            <w:r w:rsidR="00CE2DF1">
              <w:rPr>
                <w:sz w:val="16"/>
              </w:rPr>
              <w:t> </w:t>
            </w:r>
            <w:r w:rsidR="00D4093D">
              <w:rPr>
                <w:sz w:val="16"/>
              </w:rPr>
              <w:t>;</w:t>
            </w:r>
            <w:r>
              <w:rPr>
                <w:sz w:val="16"/>
              </w:rPr>
              <w:t xml:space="preserve"> expertise et expérience dans l</w:t>
            </w:r>
            <w:r w:rsidR="00CE2DF1">
              <w:rPr>
                <w:sz w:val="16"/>
              </w:rPr>
              <w:t>’</w:t>
            </w:r>
            <w:r>
              <w:rPr>
                <w:sz w:val="16"/>
              </w:rPr>
              <w:t>élaboration et la prestation de programmes de formation et de renforcement des capacités pour les OSC et les institutions publiques</w:t>
            </w:r>
            <w:r w:rsidR="00CE2DF1">
              <w:rPr>
                <w:sz w:val="16"/>
              </w:rPr>
              <w:t> </w:t>
            </w:r>
            <w:r>
              <w:rPr>
                <w:sz w:val="16"/>
              </w:rPr>
              <w:t>; pertinence et clarté du</w:t>
            </w:r>
            <w:r w:rsidR="00D4093D">
              <w:rPr>
                <w:sz w:val="16"/>
              </w:rPr>
              <w:t xml:space="preserve"> </w:t>
            </w:r>
            <w:r>
              <w:rPr>
                <w:sz w:val="16"/>
              </w:rPr>
              <w:t>budget proposé (y compris la contribution des OSC)</w:t>
            </w:r>
            <w:r w:rsidR="00CE2DF1">
              <w:rPr>
                <w:sz w:val="16"/>
              </w:rPr>
              <w:t> </w:t>
            </w:r>
            <w:r>
              <w:rPr>
                <w:sz w:val="16"/>
              </w:rPr>
              <w:t xml:space="preserve">; expertise technique pertinente et expérience dans le travail avec un éventail de </w:t>
            </w:r>
            <w:r w:rsidR="00D4093D">
              <w:rPr>
                <w:sz w:val="16"/>
              </w:rPr>
              <w:t xml:space="preserve">différentes </w:t>
            </w:r>
            <w:r>
              <w:rPr>
                <w:sz w:val="16"/>
              </w:rPr>
              <w:t>parties prenantes au niveau national et local pour établir une perspective sensible aux jeunes dans l</w:t>
            </w:r>
            <w:r w:rsidR="00CE2DF1">
              <w:rPr>
                <w:sz w:val="16"/>
              </w:rPr>
              <w:t>’</w:t>
            </w:r>
            <w:r>
              <w:rPr>
                <w:sz w:val="16"/>
              </w:rPr>
              <w:t>ensemble des secteurs</w:t>
            </w:r>
            <w:r w:rsidR="00D4093D">
              <w:rPr>
                <w:sz w:val="16"/>
              </w:rPr>
              <w:t>.</w:t>
            </w:r>
          </w:p>
        </w:tc>
        <w:tc>
          <w:tcPr>
            <w:tcW w:w="895" w:type="dxa"/>
            <w:tcBorders>
              <w:top w:val="single" w:sz="2" w:space="0" w:color="000000"/>
              <w:left w:val="single" w:sz="2" w:space="0" w:color="000000"/>
              <w:bottom w:val="single" w:sz="2" w:space="0" w:color="000000"/>
              <w:right w:val="single" w:sz="2" w:space="0" w:color="000000"/>
            </w:tcBorders>
          </w:tcPr>
          <w:p w14:paraId="0F18CA4B" w14:textId="06F8CD3A" w:rsidR="00780E9E" w:rsidRPr="00675063" w:rsidRDefault="00B70FC7" w:rsidP="00527DEB">
            <w:pPr>
              <w:spacing w:after="120" w:line="240" w:lineRule="auto"/>
              <w:ind w:left="21"/>
              <w:jc w:val="center"/>
              <w:rPr>
                <w:rFonts w:eastAsia="Arial" w:cstheme="minorHAnsi"/>
                <w:sz w:val="20"/>
                <w:szCs w:val="20"/>
              </w:rPr>
            </w:pPr>
            <w:r>
              <w:rPr>
                <w:sz w:val="20"/>
              </w:rPr>
              <w:t>55</w:t>
            </w:r>
          </w:p>
        </w:tc>
      </w:tr>
      <w:tr w:rsidR="00780E9E" w:rsidRPr="00675063" w14:paraId="2DFA0AAF" w14:textId="77777777" w:rsidTr="005113CF">
        <w:trPr>
          <w:trHeight w:hRule="exact" w:val="866"/>
        </w:trPr>
        <w:tc>
          <w:tcPr>
            <w:tcW w:w="3129" w:type="dxa"/>
            <w:tcBorders>
              <w:top w:val="single" w:sz="2" w:space="0" w:color="000000"/>
              <w:left w:val="single" w:sz="2" w:space="0" w:color="000000"/>
              <w:bottom w:val="single" w:sz="2" w:space="0" w:color="000000"/>
              <w:right w:val="single" w:sz="2" w:space="0" w:color="000000"/>
            </w:tcBorders>
          </w:tcPr>
          <w:p w14:paraId="3CBBC5D9" w14:textId="407C6C84" w:rsidR="00780E9E" w:rsidRPr="00675063" w:rsidRDefault="00780E9E" w:rsidP="00527DEB">
            <w:pPr>
              <w:spacing w:after="120" w:line="240" w:lineRule="auto"/>
              <w:ind w:left="151"/>
              <w:rPr>
                <w:rFonts w:eastAsia="Arial" w:cstheme="minorHAnsi"/>
                <w:sz w:val="20"/>
                <w:szCs w:val="20"/>
              </w:rPr>
            </w:pPr>
            <w:r>
              <w:rPr>
                <w:sz w:val="20"/>
              </w:rPr>
              <w:t>Durabilité de l</w:t>
            </w:r>
            <w:r w:rsidR="00CE2DF1">
              <w:rPr>
                <w:sz w:val="20"/>
              </w:rPr>
              <w:t>’</w:t>
            </w:r>
            <w:r>
              <w:rPr>
                <w:sz w:val="20"/>
              </w:rPr>
              <w:t>intervention</w:t>
            </w:r>
          </w:p>
        </w:tc>
        <w:tc>
          <w:tcPr>
            <w:tcW w:w="5085" w:type="dxa"/>
            <w:tcBorders>
              <w:top w:val="single" w:sz="2" w:space="0" w:color="000000"/>
              <w:left w:val="single" w:sz="2" w:space="0" w:color="000000"/>
              <w:bottom w:val="single" w:sz="2" w:space="0" w:color="000000"/>
              <w:right w:val="single" w:sz="2" w:space="0" w:color="000000"/>
            </w:tcBorders>
          </w:tcPr>
          <w:p w14:paraId="0AA1F9DD" w14:textId="5F98932D" w:rsidR="00780E9E" w:rsidRPr="00687115" w:rsidRDefault="00780E9E" w:rsidP="00527DEB">
            <w:pPr>
              <w:spacing w:after="120" w:line="240" w:lineRule="auto"/>
              <w:ind w:left="74"/>
              <w:rPr>
                <w:rFonts w:eastAsia="Arial" w:cstheme="minorHAnsi"/>
                <w:sz w:val="16"/>
                <w:szCs w:val="16"/>
              </w:rPr>
            </w:pPr>
            <w:r>
              <w:rPr>
                <w:sz w:val="16"/>
              </w:rPr>
              <w:t xml:space="preserve">Expérience en </w:t>
            </w:r>
            <w:r w:rsidR="00527DEB">
              <w:rPr>
                <w:sz w:val="16"/>
              </w:rPr>
              <w:t xml:space="preserve">matière de </w:t>
            </w:r>
            <w:r>
              <w:rPr>
                <w:sz w:val="16"/>
              </w:rPr>
              <w:t xml:space="preserve">partenariat avec des institutions clés </w:t>
            </w:r>
            <w:r w:rsidR="00527DEB">
              <w:rPr>
                <w:sz w:val="16"/>
              </w:rPr>
              <w:t>dans le cadre de</w:t>
            </w:r>
            <w:r>
              <w:rPr>
                <w:sz w:val="16"/>
              </w:rPr>
              <w:t xml:space="preserve"> la participation des jeunes et des adolescents et au développement</w:t>
            </w:r>
            <w:r w:rsidR="00CE2DF1">
              <w:rPr>
                <w:sz w:val="16"/>
              </w:rPr>
              <w:t> </w:t>
            </w:r>
            <w:r>
              <w:rPr>
                <w:sz w:val="16"/>
              </w:rPr>
              <w:t>; expérience, présence et relations communautaires à l</w:t>
            </w:r>
            <w:r w:rsidR="00CE2DF1">
              <w:rPr>
                <w:sz w:val="16"/>
              </w:rPr>
              <w:t>’</w:t>
            </w:r>
            <w:r>
              <w:rPr>
                <w:sz w:val="16"/>
              </w:rPr>
              <w:t xml:space="preserve">échelle nationale et </w:t>
            </w:r>
            <w:r w:rsidR="0079606A">
              <w:rPr>
                <w:sz w:val="16"/>
              </w:rPr>
              <w:t>locale</w:t>
            </w:r>
            <w:r w:rsidR="00CE2DF1">
              <w:rPr>
                <w:sz w:val="16"/>
              </w:rPr>
              <w:t> </w:t>
            </w:r>
            <w:r w:rsidR="0079606A">
              <w:rPr>
                <w:sz w:val="16"/>
              </w:rPr>
              <w:t>;</w:t>
            </w:r>
            <w:r>
              <w:rPr>
                <w:sz w:val="16"/>
              </w:rPr>
              <w:t xml:space="preserve"> capacité de </w:t>
            </w:r>
            <w:r w:rsidR="0079606A">
              <w:rPr>
                <w:sz w:val="16"/>
              </w:rPr>
              <w:t>gestion</w:t>
            </w:r>
            <w:r w:rsidR="00CE2DF1">
              <w:rPr>
                <w:sz w:val="16"/>
              </w:rPr>
              <w:t> </w:t>
            </w:r>
            <w:r w:rsidR="0079606A">
              <w:rPr>
                <w:sz w:val="16"/>
              </w:rPr>
              <w:t>;</w:t>
            </w:r>
            <w:r>
              <w:rPr>
                <w:sz w:val="16"/>
              </w:rPr>
              <w:t xml:space="preserve"> </w:t>
            </w:r>
            <w:r w:rsidR="00527DEB">
              <w:rPr>
                <w:sz w:val="16"/>
              </w:rPr>
              <w:t>durabilité</w:t>
            </w:r>
            <w:r>
              <w:rPr>
                <w:sz w:val="16"/>
              </w:rPr>
              <w:t xml:space="preserve"> de l</w:t>
            </w:r>
            <w:r w:rsidR="00CE2DF1">
              <w:rPr>
                <w:sz w:val="16"/>
              </w:rPr>
              <w:t>’</w:t>
            </w:r>
            <w:r>
              <w:rPr>
                <w:sz w:val="16"/>
              </w:rPr>
              <w:t>intervention.</w:t>
            </w:r>
          </w:p>
        </w:tc>
        <w:tc>
          <w:tcPr>
            <w:tcW w:w="895" w:type="dxa"/>
            <w:tcBorders>
              <w:top w:val="single" w:sz="2" w:space="0" w:color="000000"/>
              <w:left w:val="single" w:sz="2" w:space="0" w:color="000000"/>
              <w:bottom w:val="single" w:sz="2" w:space="0" w:color="000000"/>
              <w:right w:val="single" w:sz="2" w:space="0" w:color="000000"/>
            </w:tcBorders>
          </w:tcPr>
          <w:p w14:paraId="66E9AF61" w14:textId="5F5EF88F" w:rsidR="00780E9E" w:rsidRPr="00675063" w:rsidRDefault="00B70FC7" w:rsidP="00527DEB">
            <w:pPr>
              <w:spacing w:after="120" w:line="240" w:lineRule="auto"/>
              <w:jc w:val="center"/>
              <w:rPr>
                <w:rFonts w:eastAsia="Arial" w:cstheme="minorHAnsi"/>
                <w:sz w:val="20"/>
                <w:szCs w:val="20"/>
              </w:rPr>
            </w:pPr>
            <w:r>
              <w:rPr>
                <w:sz w:val="20"/>
              </w:rPr>
              <w:t>15</w:t>
            </w:r>
          </w:p>
        </w:tc>
      </w:tr>
      <w:tr w:rsidR="00780E9E" w:rsidRPr="00675063" w14:paraId="6B3F18C6" w14:textId="77777777" w:rsidTr="00FD5474">
        <w:trPr>
          <w:trHeight w:hRule="exact" w:val="699"/>
        </w:trPr>
        <w:tc>
          <w:tcPr>
            <w:tcW w:w="3129" w:type="dxa"/>
            <w:tcBorders>
              <w:top w:val="single" w:sz="2" w:space="0" w:color="000000"/>
              <w:left w:val="single" w:sz="2" w:space="0" w:color="000000"/>
              <w:bottom w:val="single" w:sz="2" w:space="0" w:color="000000"/>
              <w:right w:val="single" w:sz="2" w:space="0" w:color="000000"/>
            </w:tcBorders>
          </w:tcPr>
          <w:p w14:paraId="6C78AB5F" w14:textId="77777777" w:rsidR="00780E9E" w:rsidRPr="00675063" w:rsidRDefault="00780E9E" w:rsidP="00780E9E">
            <w:pPr>
              <w:spacing w:before="10" w:after="0" w:line="100" w:lineRule="exact"/>
              <w:rPr>
                <w:rFonts w:cstheme="minorHAnsi"/>
                <w:sz w:val="10"/>
                <w:szCs w:val="10"/>
              </w:rPr>
            </w:pPr>
          </w:p>
          <w:p w14:paraId="51C4D1C0" w14:textId="77777777" w:rsidR="00780E9E" w:rsidRPr="00675063" w:rsidRDefault="00780E9E" w:rsidP="00527DEB">
            <w:pPr>
              <w:spacing w:after="120" w:line="240" w:lineRule="auto"/>
              <w:ind w:left="151"/>
              <w:rPr>
                <w:rFonts w:eastAsia="Arial" w:cstheme="minorHAnsi"/>
                <w:sz w:val="20"/>
                <w:szCs w:val="20"/>
              </w:rPr>
            </w:pPr>
            <w:r>
              <w:rPr>
                <w:sz w:val="20"/>
              </w:rPr>
              <w:t>Autre</w:t>
            </w:r>
          </w:p>
        </w:tc>
        <w:tc>
          <w:tcPr>
            <w:tcW w:w="5085" w:type="dxa"/>
            <w:tcBorders>
              <w:top w:val="single" w:sz="2" w:space="0" w:color="000000"/>
              <w:left w:val="single" w:sz="2" w:space="0" w:color="000000"/>
              <w:bottom w:val="single" w:sz="2" w:space="0" w:color="000000"/>
              <w:right w:val="single" w:sz="2" w:space="0" w:color="000000"/>
            </w:tcBorders>
          </w:tcPr>
          <w:p w14:paraId="06AF9B94" w14:textId="6BE8BD1A" w:rsidR="00780E9E" w:rsidRPr="00687115" w:rsidRDefault="00780E9E" w:rsidP="00527DEB">
            <w:pPr>
              <w:spacing w:after="120" w:line="240" w:lineRule="auto"/>
              <w:ind w:left="74"/>
              <w:rPr>
                <w:rFonts w:eastAsia="Arial" w:cstheme="minorHAnsi"/>
                <w:sz w:val="16"/>
                <w:szCs w:val="16"/>
              </w:rPr>
            </w:pPr>
            <w:r>
              <w:rPr>
                <w:sz w:val="16"/>
              </w:rPr>
              <w:t>Réplicabilité/</w:t>
            </w:r>
            <w:r w:rsidR="0079606A">
              <w:rPr>
                <w:sz w:val="16"/>
              </w:rPr>
              <w:t>extensibilité</w:t>
            </w:r>
            <w:r w:rsidR="00CE2DF1">
              <w:rPr>
                <w:sz w:val="16"/>
              </w:rPr>
              <w:t> </w:t>
            </w:r>
            <w:r>
              <w:rPr>
                <w:sz w:val="16"/>
              </w:rPr>
              <w:t xml:space="preserve">; </w:t>
            </w:r>
            <w:r w:rsidR="0079606A">
              <w:rPr>
                <w:sz w:val="16"/>
              </w:rPr>
              <w:t>compétences en matière de prise en considération</w:t>
            </w:r>
            <w:r>
              <w:rPr>
                <w:sz w:val="16"/>
              </w:rPr>
              <w:t xml:space="preserve"> </w:t>
            </w:r>
            <w:r w:rsidR="0079606A">
              <w:rPr>
                <w:sz w:val="16"/>
              </w:rPr>
              <w:t xml:space="preserve">des </w:t>
            </w:r>
            <w:r w:rsidR="00B70FC7">
              <w:rPr>
                <w:sz w:val="16"/>
              </w:rPr>
              <w:t>sexospécifiques</w:t>
            </w:r>
            <w:r>
              <w:rPr>
                <w:sz w:val="16"/>
              </w:rPr>
              <w:t xml:space="preserve"> à appliquer lors de la mise en œuvre des </w:t>
            </w:r>
            <w:r w:rsidR="0079606A">
              <w:rPr>
                <w:sz w:val="16"/>
              </w:rPr>
              <w:t>programmes</w:t>
            </w:r>
            <w:r w:rsidR="00CE2DF1">
              <w:rPr>
                <w:sz w:val="16"/>
              </w:rPr>
              <w:t> </w:t>
            </w:r>
            <w:r w:rsidR="0079606A">
              <w:rPr>
                <w:sz w:val="16"/>
              </w:rPr>
              <w:t>;</w:t>
            </w:r>
            <w:r>
              <w:rPr>
                <w:sz w:val="16"/>
              </w:rPr>
              <w:t xml:space="preserve"> approche </w:t>
            </w:r>
            <w:r w:rsidR="0079606A">
              <w:rPr>
                <w:sz w:val="16"/>
              </w:rPr>
              <w:t>innovante.</w:t>
            </w:r>
          </w:p>
        </w:tc>
        <w:tc>
          <w:tcPr>
            <w:tcW w:w="895" w:type="dxa"/>
            <w:tcBorders>
              <w:top w:val="single" w:sz="2" w:space="0" w:color="000000"/>
              <w:left w:val="single" w:sz="2" w:space="0" w:color="000000"/>
              <w:bottom w:val="single" w:sz="2" w:space="0" w:color="000000"/>
              <w:right w:val="single" w:sz="2" w:space="0" w:color="000000"/>
            </w:tcBorders>
          </w:tcPr>
          <w:p w14:paraId="25849B1B" w14:textId="2BE15F5B" w:rsidR="00780E9E" w:rsidRPr="00675063" w:rsidRDefault="00B70FC7" w:rsidP="00527DEB">
            <w:pPr>
              <w:spacing w:after="120" w:line="240" w:lineRule="auto"/>
              <w:jc w:val="center"/>
              <w:rPr>
                <w:rFonts w:eastAsia="Arial" w:cstheme="minorHAnsi"/>
                <w:sz w:val="20"/>
                <w:szCs w:val="20"/>
              </w:rPr>
            </w:pPr>
            <w:r>
              <w:rPr>
                <w:sz w:val="20"/>
              </w:rPr>
              <w:t>15</w:t>
            </w:r>
          </w:p>
        </w:tc>
      </w:tr>
    </w:tbl>
    <w:p w14:paraId="6EA64615" w14:textId="77777777" w:rsidR="0024366C" w:rsidRPr="00675063" w:rsidRDefault="0024366C" w:rsidP="0091364B">
      <w:pPr>
        <w:spacing w:after="120" w:line="240" w:lineRule="auto"/>
        <w:rPr>
          <w:rFonts w:cstheme="minorHAnsi"/>
          <w:sz w:val="20"/>
          <w:szCs w:val="20"/>
        </w:rPr>
      </w:pPr>
    </w:p>
    <w:p w14:paraId="317E273B" w14:textId="77777777" w:rsidR="0024366C" w:rsidRPr="00B50929" w:rsidRDefault="00C529A8" w:rsidP="0091364B">
      <w:pPr>
        <w:spacing w:after="120" w:line="240" w:lineRule="auto"/>
        <w:rPr>
          <w:rFonts w:eastAsia="Arial" w:cstheme="minorHAnsi"/>
        </w:rPr>
      </w:pPr>
      <w:r>
        <w:t xml:space="preserve">10 </w:t>
      </w:r>
      <w:r>
        <w:rPr>
          <w:b/>
          <w:i/>
        </w:rPr>
        <w:t>Pièces jointes</w:t>
      </w:r>
    </w:p>
    <w:p w14:paraId="4FB3D2AE" w14:textId="77777777" w:rsidR="0024366C" w:rsidRPr="00675063" w:rsidRDefault="0024366C" w:rsidP="0091364B">
      <w:pPr>
        <w:spacing w:after="120" w:line="240" w:lineRule="auto"/>
        <w:rPr>
          <w:rFonts w:cstheme="minorHAnsi"/>
          <w:sz w:val="3"/>
          <w:szCs w:val="3"/>
        </w:rPr>
      </w:pPr>
    </w:p>
    <w:tbl>
      <w:tblPr>
        <w:tblW w:w="0" w:type="auto"/>
        <w:tblInd w:w="837" w:type="dxa"/>
        <w:tblLayout w:type="fixed"/>
        <w:tblCellMar>
          <w:left w:w="0" w:type="dxa"/>
          <w:right w:w="0" w:type="dxa"/>
        </w:tblCellMar>
        <w:tblLook w:val="01E0" w:firstRow="1" w:lastRow="1" w:firstColumn="1" w:lastColumn="1" w:noHBand="0" w:noVBand="0"/>
      </w:tblPr>
      <w:tblGrid>
        <w:gridCol w:w="5397"/>
        <w:gridCol w:w="3737"/>
      </w:tblGrid>
      <w:tr w:rsidR="0024366C" w:rsidRPr="00675063" w14:paraId="18511F04" w14:textId="77777777" w:rsidTr="001E5D12">
        <w:trPr>
          <w:trHeight w:hRule="exact" w:val="397"/>
        </w:trPr>
        <w:tc>
          <w:tcPr>
            <w:tcW w:w="5397" w:type="dxa"/>
            <w:tcBorders>
              <w:top w:val="single" w:sz="2" w:space="0" w:color="000000"/>
              <w:left w:val="single" w:sz="2" w:space="0" w:color="000000"/>
              <w:bottom w:val="single" w:sz="2" w:space="0" w:color="000000"/>
              <w:right w:val="single" w:sz="2" w:space="0" w:color="000000"/>
            </w:tcBorders>
            <w:shd w:val="clear" w:color="auto" w:fill="A8A8A8"/>
            <w:vAlign w:val="center"/>
          </w:tcPr>
          <w:p w14:paraId="40A64BA8" w14:textId="77777777" w:rsidR="0024366C" w:rsidRPr="00675063" w:rsidRDefault="00C529A8" w:rsidP="001E5D12">
            <w:pPr>
              <w:spacing w:after="0" w:line="240" w:lineRule="auto"/>
              <w:ind w:left="151"/>
              <w:rPr>
                <w:rFonts w:eastAsia="Arial" w:cstheme="minorHAnsi"/>
                <w:sz w:val="20"/>
                <w:szCs w:val="20"/>
              </w:rPr>
            </w:pPr>
            <w:r>
              <w:rPr>
                <w:color w:val="FFFFFF"/>
                <w:sz w:val="20"/>
              </w:rPr>
              <w:t>Description</w:t>
            </w:r>
          </w:p>
        </w:tc>
        <w:tc>
          <w:tcPr>
            <w:tcW w:w="3737" w:type="dxa"/>
            <w:tcBorders>
              <w:top w:val="single" w:sz="2" w:space="0" w:color="000000"/>
              <w:left w:val="single" w:sz="2" w:space="0" w:color="000000"/>
              <w:bottom w:val="single" w:sz="2" w:space="0" w:color="000000"/>
              <w:right w:val="single" w:sz="2" w:space="0" w:color="000000"/>
            </w:tcBorders>
            <w:shd w:val="clear" w:color="auto" w:fill="A8A8A8"/>
            <w:vAlign w:val="center"/>
          </w:tcPr>
          <w:p w14:paraId="46B13BD4" w14:textId="77777777" w:rsidR="0024366C" w:rsidRPr="00675063" w:rsidRDefault="00C529A8" w:rsidP="001E5D12">
            <w:pPr>
              <w:spacing w:after="0" w:line="240" w:lineRule="auto"/>
              <w:ind w:left="151"/>
              <w:rPr>
                <w:rFonts w:eastAsia="Arial" w:cstheme="minorHAnsi"/>
                <w:sz w:val="20"/>
                <w:szCs w:val="20"/>
              </w:rPr>
            </w:pPr>
            <w:r>
              <w:rPr>
                <w:color w:val="FFFFFF"/>
                <w:sz w:val="20"/>
              </w:rPr>
              <w:t>URL</w:t>
            </w:r>
          </w:p>
        </w:tc>
      </w:tr>
      <w:tr w:rsidR="00D00051" w:rsidRPr="00675063" w14:paraId="48B61447" w14:textId="77777777" w:rsidTr="001E5D12">
        <w:trPr>
          <w:trHeight w:val="20"/>
        </w:trPr>
        <w:tc>
          <w:tcPr>
            <w:tcW w:w="5397" w:type="dxa"/>
            <w:tcBorders>
              <w:top w:val="single" w:sz="2" w:space="0" w:color="000000"/>
              <w:left w:val="single" w:sz="2" w:space="0" w:color="000000"/>
              <w:bottom w:val="single" w:sz="2" w:space="0" w:color="000000"/>
              <w:right w:val="single" w:sz="2" w:space="0" w:color="000000"/>
            </w:tcBorders>
            <w:vAlign w:val="center"/>
          </w:tcPr>
          <w:p w14:paraId="25292323" w14:textId="2F5BA0F5" w:rsidR="00D00051" w:rsidRPr="00D00051" w:rsidRDefault="00D00051" w:rsidP="001E5D12">
            <w:pPr>
              <w:spacing w:after="0" w:line="240" w:lineRule="auto"/>
              <w:ind w:left="151"/>
              <w:rPr>
                <w:rFonts w:eastAsia="Arial" w:cstheme="minorHAnsi"/>
                <w:color w:val="4F81BD" w:themeColor="accent1"/>
                <w:sz w:val="20"/>
                <w:szCs w:val="20"/>
              </w:rPr>
            </w:pPr>
            <w:r>
              <w:rPr>
                <w:color w:val="4F81BD" w:themeColor="accent1"/>
                <w:sz w:val="20"/>
              </w:rPr>
              <w:t>ANNEXE A – Termes de référence</w:t>
            </w:r>
          </w:p>
        </w:tc>
        <w:tc>
          <w:tcPr>
            <w:tcW w:w="3737" w:type="dxa"/>
            <w:tcBorders>
              <w:top w:val="single" w:sz="2" w:space="0" w:color="000000"/>
              <w:left w:val="single" w:sz="2" w:space="0" w:color="000000"/>
              <w:bottom w:val="single" w:sz="2" w:space="0" w:color="000000"/>
              <w:right w:val="single" w:sz="2" w:space="0" w:color="000000"/>
            </w:tcBorders>
            <w:vAlign w:val="center"/>
          </w:tcPr>
          <w:p w14:paraId="3635CAE9" w14:textId="6AFAAAE1" w:rsidR="00D00051" w:rsidRPr="00D00051" w:rsidRDefault="005113CF" w:rsidP="001E5D12">
            <w:pPr>
              <w:spacing w:after="0" w:line="240" w:lineRule="auto"/>
              <w:ind w:left="151"/>
              <w:rPr>
                <w:rFonts w:cstheme="minorHAnsi"/>
                <w:color w:val="4F81BD" w:themeColor="accent1"/>
                <w:sz w:val="20"/>
                <w:szCs w:val="20"/>
              </w:rPr>
            </w:pPr>
            <w:r>
              <w:rPr>
                <w:color w:val="4F81BD" w:themeColor="accent1"/>
                <w:sz w:val="20"/>
              </w:rPr>
              <w:t>En annexe à la publication</w:t>
            </w:r>
          </w:p>
        </w:tc>
      </w:tr>
      <w:tr w:rsidR="005113CF" w:rsidRPr="00675063" w14:paraId="3DEED669" w14:textId="77777777" w:rsidTr="006E23F8">
        <w:trPr>
          <w:trHeight w:val="20"/>
        </w:trPr>
        <w:tc>
          <w:tcPr>
            <w:tcW w:w="5397" w:type="dxa"/>
            <w:tcBorders>
              <w:top w:val="single" w:sz="2" w:space="0" w:color="000000"/>
              <w:left w:val="single" w:sz="2" w:space="0" w:color="000000"/>
              <w:bottom w:val="single" w:sz="2" w:space="0" w:color="000000"/>
              <w:right w:val="single" w:sz="2" w:space="0" w:color="000000"/>
            </w:tcBorders>
            <w:vAlign w:val="center"/>
          </w:tcPr>
          <w:p w14:paraId="0714D5CA" w14:textId="502CDAD9" w:rsidR="005113CF" w:rsidRPr="00D00051" w:rsidRDefault="005113CF" w:rsidP="005113CF">
            <w:pPr>
              <w:spacing w:after="0" w:line="240" w:lineRule="auto"/>
              <w:ind w:left="151"/>
              <w:rPr>
                <w:rFonts w:eastAsia="Arial" w:cstheme="minorHAnsi"/>
                <w:sz w:val="20"/>
                <w:szCs w:val="20"/>
              </w:rPr>
            </w:pPr>
            <w:r>
              <w:rPr>
                <w:color w:val="4F81BD" w:themeColor="accent1"/>
                <w:sz w:val="20"/>
              </w:rPr>
              <w:t>ANNEXE B – Liste de contrôle des références des partenaires de mise en œuvre</w:t>
            </w:r>
          </w:p>
        </w:tc>
        <w:tc>
          <w:tcPr>
            <w:tcW w:w="3737" w:type="dxa"/>
            <w:tcBorders>
              <w:top w:val="single" w:sz="2" w:space="0" w:color="000000"/>
              <w:left w:val="single" w:sz="2" w:space="0" w:color="000000"/>
              <w:bottom w:val="single" w:sz="2" w:space="0" w:color="000000"/>
              <w:right w:val="single" w:sz="2" w:space="0" w:color="000000"/>
            </w:tcBorders>
          </w:tcPr>
          <w:p w14:paraId="0C734A1C" w14:textId="68570FA4" w:rsidR="005113CF" w:rsidRPr="00D00051" w:rsidRDefault="005113CF" w:rsidP="005113CF">
            <w:pPr>
              <w:spacing w:after="0" w:line="240" w:lineRule="auto"/>
              <w:ind w:left="151"/>
              <w:rPr>
                <w:rFonts w:eastAsia="Arial" w:cstheme="minorHAnsi"/>
                <w:color w:val="4F81BD" w:themeColor="accent1"/>
                <w:sz w:val="20"/>
                <w:szCs w:val="20"/>
              </w:rPr>
            </w:pPr>
            <w:r w:rsidRPr="004A5AF4">
              <w:rPr>
                <w:color w:val="4F81BD" w:themeColor="accent1"/>
                <w:sz w:val="20"/>
              </w:rPr>
              <w:t>En annexe à la publication</w:t>
            </w:r>
          </w:p>
        </w:tc>
      </w:tr>
      <w:tr w:rsidR="005113CF" w:rsidRPr="00675063" w14:paraId="7A132779" w14:textId="77777777" w:rsidTr="006E23F8">
        <w:trPr>
          <w:trHeight w:val="20"/>
        </w:trPr>
        <w:tc>
          <w:tcPr>
            <w:tcW w:w="5397" w:type="dxa"/>
            <w:tcBorders>
              <w:top w:val="single" w:sz="2" w:space="0" w:color="000000"/>
              <w:left w:val="single" w:sz="2" w:space="0" w:color="000000"/>
              <w:bottom w:val="single" w:sz="2" w:space="0" w:color="000000"/>
              <w:right w:val="single" w:sz="2" w:space="0" w:color="000000"/>
            </w:tcBorders>
            <w:vAlign w:val="center"/>
          </w:tcPr>
          <w:p w14:paraId="30C08F9C" w14:textId="2C27CFCE" w:rsidR="005113CF" w:rsidRPr="00D00051" w:rsidRDefault="005113CF" w:rsidP="005113CF">
            <w:pPr>
              <w:spacing w:after="0" w:line="240" w:lineRule="auto"/>
              <w:ind w:left="151"/>
              <w:rPr>
                <w:rFonts w:cstheme="minorHAnsi"/>
                <w:color w:val="4F81BD" w:themeColor="accent1"/>
                <w:sz w:val="20"/>
                <w:szCs w:val="20"/>
              </w:rPr>
            </w:pPr>
            <w:r>
              <w:rPr>
                <w:color w:val="4F81BD" w:themeColor="accent1"/>
                <w:sz w:val="20"/>
              </w:rPr>
              <w:t xml:space="preserve">ANNEXE C - Questionnaire d’informations générales </w:t>
            </w:r>
          </w:p>
        </w:tc>
        <w:tc>
          <w:tcPr>
            <w:tcW w:w="3737" w:type="dxa"/>
            <w:tcBorders>
              <w:top w:val="single" w:sz="2" w:space="0" w:color="000000"/>
              <w:left w:val="single" w:sz="2" w:space="0" w:color="000000"/>
              <w:bottom w:val="single" w:sz="2" w:space="0" w:color="000000"/>
              <w:right w:val="single" w:sz="2" w:space="0" w:color="000000"/>
            </w:tcBorders>
          </w:tcPr>
          <w:p w14:paraId="66523048" w14:textId="6A932C0E" w:rsidR="005113CF" w:rsidRPr="00D00051" w:rsidRDefault="005113CF" w:rsidP="005113CF">
            <w:pPr>
              <w:spacing w:after="0" w:line="240" w:lineRule="auto"/>
              <w:ind w:left="151"/>
              <w:rPr>
                <w:rFonts w:cstheme="minorHAnsi"/>
                <w:color w:val="4F81BD" w:themeColor="accent1"/>
                <w:sz w:val="20"/>
                <w:szCs w:val="20"/>
              </w:rPr>
            </w:pPr>
            <w:r w:rsidRPr="004A5AF4">
              <w:rPr>
                <w:color w:val="4F81BD" w:themeColor="accent1"/>
                <w:sz w:val="20"/>
              </w:rPr>
              <w:t>En annexe à la publication</w:t>
            </w:r>
          </w:p>
        </w:tc>
      </w:tr>
      <w:tr w:rsidR="005113CF" w:rsidRPr="00675063" w14:paraId="2813CAA8" w14:textId="77777777" w:rsidTr="006E23F8">
        <w:trPr>
          <w:trHeight w:val="20"/>
        </w:trPr>
        <w:tc>
          <w:tcPr>
            <w:tcW w:w="5397" w:type="dxa"/>
            <w:tcBorders>
              <w:top w:val="single" w:sz="2" w:space="0" w:color="000000"/>
              <w:left w:val="single" w:sz="2" w:space="0" w:color="000000"/>
              <w:bottom w:val="single" w:sz="2" w:space="0" w:color="000000"/>
              <w:right w:val="single" w:sz="2" w:space="0" w:color="000000"/>
            </w:tcBorders>
            <w:vAlign w:val="center"/>
          </w:tcPr>
          <w:p w14:paraId="447EB199" w14:textId="2B97FC73" w:rsidR="005113CF" w:rsidRPr="00D00051" w:rsidRDefault="005113CF" w:rsidP="005113CF">
            <w:pPr>
              <w:spacing w:after="0" w:line="240" w:lineRule="auto"/>
              <w:ind w:left="151"/>
              <w:rPr>
                <w:rFonts w:cstheme="minorHAnsi"/>
                <w:color w:val="4F81BD" w:themeColor="accent1"/>
                <w:sz w:val="20"/>
                <w:szCs w:val="20"/>
              </w:rPr>
            </w:pPr>
            <w:r>
              <w:rPr>
                <w:color w:val="4F81BD" w:themeColor="accent1"/>
                <w:sz w:val="20"/>
              </w:rPr>
              <w:t>ANNEXE D – Modèle de note conceptuelle</w:t>
            </w:r>
          </w:p>
        </w:tc>
        <w:tc>
          <w:tcPr>
            <w:tcW w:w="3737" w:type="dxa"/>
            <w:tcBorders>
              <w:top w:val="single" w:sz="2" w:space="0" w:color="000000"/>
              <w:left w:val="single" w:sz="2" w:space="0" w:color="000000"/>
              <w:bottom w:val="single" w:sz="2" w:space="0" w:color="000000"/>
              <w:right w:val="single" w:sz="2" w:space="0" w:color="000000"/>
            </w:tcBorders>
          </w:tcPr>
          <w:p w14:paraId="4B7023A2" w14:textId="561A0C24" w:rsidR="005113CF" w:rsidRPr="00D00051" w:rsidRDefault="005113CF" w:rsidP="005113CF">
            <w:pPr>
              <w:spacing w:after="0" w:line="240" w:lineRule="auto"/>
              <w:ind w:left="151"/>
              <w:rPr>
                <w:rFonts w:cstheme="minorHAnsi"/>
                <w:color w:val="4F81BD" w:themeColor="accent1"/>
                <w:sz w:val="20"/>
                <w:szCs w:val="20"/>
              </w:rPr>
            </w:pPr>
            <w:r w:rsidRPr="004A5AF4">
              <w:rPr>
                <w:color w:val="4F81BD" w:themeColor="accent1"/>
                <w:sz w:val="20"/>
              </w:rPr>
              <w:t>En annexe à la publication</w:t>
            </w:r>
          </w:p>
        </w:tc>
      </w:tr>
      <w:tr w:rsidR="005113CF" w:rsidRPr="00675063" w14:paraId="571E13A4" w14:textId="77777777" w:rsidTr="006E23F8">
        <w:trPr>
          <w:trHeight w:val="20"/>
        </w:trPr>
        <w:tc>
          <w:tcPr>
            <w:tcW w:w="5397" w:type="dxa"/>
            <w:tcBorders>
              <w:top w:val="single" w:sz="2" w:space="0" w:color="000000"/>
              <w:left w:val="single" w:sz="2" w:space="0" w:color="000000"/>
              <w:bottom w:val="single" w:sz="2" w:space="0" w:color="000000"/>
              <w:right w:val="single" w:sz="2" w:space="0" w:color="000000"/>
            </w:tcBorders>
            <w:vAlign w:val="center"/>
          </w:tcPr>
          <w:p w14:paraId="649DEEC0" w14:textId="109330B8" w:rsidR="005113CF" w:rsidRDefault="005113CF" w:rsidP="005113CF">
            <w:pPr>
              <w:spacing w:after="0" w:line="240" w:lineRule="auto"/>
              <w:ind w:left="151"/>
              <w:rPr>
                <w:color w:val="4F81BD" w:themeColor="accent1"/>
                <w:sz w:val="20"/>
              </w:rPr>
            </w:pPr>
            <w:r>
              <w:rPr>
                <w:color w:val="4F81BD" w:themeColor="accent1"/>
                <w:sz w:val="20"/>
              </w:rPr>
              <w:t>ANNEXE E- Format de budget de soumission</w:t>
            </w:r>
          </w:p>
        </w:tc>
        <w:tc>
          <w:tcPr>
            <w:tcW w:w="3737" w:type="dxa"/>
            <w:tcBorders>
              <w:top w:val="single" w:sz="2" w:space="0" w:color="000000"/>
              <w:left w:val="single" w:sz="2" w:space="0" w:color="000000"/>
              <w:bottom w:val="single" w:sz="2" w:space="0" w:color="000000"/>
              <w:right w:val="single" w:sz="2" w:space="0" w:color="000000"/>
            </w:tcBorders>
          </w:tcPr>
          <w:p w14:paraId="19DD3A9B" w14:textId="4050A02A" w:rsidR="005113CF" w:rsidRDefault="005113CF" w:rsidP="005113CF">
            <w:pPr>
              <w:spacing w:after="0" w:line="240" w:lineRule="auto"/>
              <w:ind w:left="151"/>
              <w:rPr>
                <w:color w:val="4F81BD" w:themeColor="accent1"/>
                <w:sz w:val="20"/>
              </w:rPr>
            </w:pPr>
            <w:r w:rsidRPr="004A5AF4">
              <w:rPr>
                <w:color w:val="4F81BD" w:themeColor="accent1"/>
                <w:sz w:val="20"/>
              </w:rPr>
              <w:t>En annexe à la publication</w:t>
            </w:r>
          </w:p>
        </w:tc>
      </w:tr>
      <w:tr w:rsidR="005113CF" w:rsidRPr="00675063" w14:paraId="1B5A0981" w14:textId="77777777" w:rsidTr="006E23F8">
        <w:trPr>
          <w:trHeight w:val="20"/>
        </w:trPr>
        <w:tc>
          <w:tcPr>
            <w:tcW w:w="5397" w:type="dxa"/>
            <w:tcBorders>
              <w:top w:val="single" w:sz="2" w:space="0" w:color="000000"/>
              <w:left w:val="single" w:sz="2" w:space="0" w:color="000000"/>
              <w:bottom w:val="single" w:sz="2" w:space="0" w:color="000000"/>
              <w:right w:val="single" w:sz="2" w:space="0" w:color="000000"/>
            </w:tcBorders>
            <w:vAlign w:val="center"/>
          </w:tcPr>
          <w:p w14:paraId="50BAA12B" w14:textId="72D705AC" w:rsidR="005113CF" w:rsidRPr="00D00051" w:rsidRDefault="005113CF" w:rsidP="005113CF">
            <w:pPr>
              <w:spacing w:after="0" w:line="240" w:lineRule="auto"/>
              <w:ind w:left="151"/>
              <w:rPr>
                <w:rFonts w:eastAsia="Arial" w:cstheme="minorHAnsi"/>
                <w:i/>
                <w:iCs/>
                <w:color w:val="4F81BD" w:themeColor="accent1"/>
                <w:sz w:val="20"/>
                <w:szCs w:val="20"/>
              </w:rPr>
            </w:pPr>
            <w:r w:rsidRPr="001E5D12">
              <w:rPr>
                <w:color w:val="4F81BD" w:themeColor="accent1"/>
                <w:sz w:val="20"/>
              </w:rPr>
              <w:t>ANNEXE</w:t>
            </w:r>
            <w:r>
              <w:rPr>
                <w:i/>
                <w:color w:val="4F81BD" w:themeColor="accent1"/>
                <w:sz w:val="20"/>
              </w:rPr>
              <w:t xml:space="preserve"> F – Modèle d’accord de mise en œuvre du projet </w:t>
            </w:r>
          </w:p>
        </w:tc>
        <w:tc>
          <w:tcPr>
            <w:tcW w:w="3737" w:type="dxa"/>
            <w:tcBorders>
              <w:top w:val="single" w:sz="2" w:space="0" w:color="000000"/>
              <w:left w:val="single" w:sz="2" w:space="0" w:color="000000"/>
              <w:bottom w:val="single" w:sz="2" w:space="0" w:color="000000"/>
              <w:right w:val="single" w:sz="2" w:space="0" w:color="000000"/>
            </w:tcBorders>
          </w:tcPr>
          <w:p w14:paraId="22C5DA72" w14:textId="2B13A2BC" w:rsidR="005113CF" w:rsidRPr="00D00051" w:rsidRDefault="005113CF" w:rsidP="005113CF">
            <w:pPr>
              <w:spacing w:after="0" w:line="240" w:lineRule="auto"/>
              <w:ind w:left="151"/>
              <w:rPr>
                <w:rFonts w:cstheme="minorHAnsi"/>
                <w:sz w:val="20"/>
                <w:szCs w:val="20"/>
              </w:rPr>
            </w:pPr>
            <w:r w:rsidRPr="004A5AF4">
              <w:rPr>
                <w:color w:val="4F81BD" w:themeColor="accent1"/>
                <w:sz w:val="20"/>
              </w:rPr>
              <w:t>En annexe à la publication</w:t>
            </w:r>
          </w:p>
        </w:tc>
      </w:tr>
    </w:tbl>
    <w:p w14:paraId="1D8E2E41" w14:textId="77777777" w:rsidR="0024366C" w:rsidRPr="00675063" w:rsidRDefault="0024366C" w:rsidP="0091364B">
      <w:pPr>
        <w:spacing w:after="120" w:line="240" w:lineRule="auto"/>
        <w:rPr>
          <w:rFonts w:cstheme="minorHAnsi"/>
          <w:sz w:val="20"/>
          <w:szCs w:val="20"/>
        </w:rPr>
      </w:pPr>
    </w:p>
    <w:p w14:paraId="1E521C92" w14:textId="2FE63B11" w:rsidR="003A2CA0" w:rsidRPr="0059773B" w:rsidRDefault="00C529A8" w:rsidP="0091364B">
      <w:pPr>
        <w:spacing w:after="120" w:line="240" w:lineRule="auto"/>
        <w:rPr>
          <w:rFonts w:eastAsia="Arial" w:cstheme="minorHAnsi"/>
        </w:rPr>
      </w:pPr>
      <w:r>
        <w:t xml:space="preserve">12 </w:t>
      </w:r>
      <w:r w:rsidR="0059773B">
        <w:rPr>
          <w:b/>
          <w:i/>
        </w:rPr>
        <w:t>I</w:t>
      </w:r>
      <w:r>
        <w:rPr>
          <w:b/>
          <w:i/>
        </w:rPr>
        <w:t>nformations sur cette opportunité de partenariat et soum</w:t>
      </w:r>
      <w:r w:rsidR="0059773B">
        <w:rPr>
          <w:b/>
          <w:i/>
        </w:rPr>
        <w:t>ission</w:t>
      </w:r>
      <w:r>
        <w:rPr>
          <w:b/>
          <w:i/>
        </w:rPr>
        <w:t xml:space="preserve"> </w:t>
      </w:r>
      <w:r w:rsidR="0059773B">
        <w:rPr>
          <w:b/>
          <w:i/>
        </w:rPr>
        <w:t>d’</w:t>
      </w:r>
      <w:r>
        <w:rPr>
          <w:b/>
          <w:i/>
        </w:rPr>
        <w:t>une demande</w:t>
      </w:r>
    </w:p>
    <w:p w14:paraId="49F0AD2C" w14:textId="0E1F02CB" w:rsidR="003A2CA0" w:rsidRPr="00C35ED9" w:rsidRDefault="003A2CA0" w:rsidP="0091364B">
      <w:pPr>
        <w:spacing w:after="120" w:line="240" w:lineRule="auto"/>
        <w:jc w:val="both"/>
        <w:rPr>
          <w:rFonts w:cstheme="minorHAnsi"/>
        </w:rPr>
      </w:pPr>
      <w:r>
        <w:t xml:space="preserve">Les organisations </w:t>
      </w:r>
      <w:r w:rsidR="007C739A">
        <w:t>soumissionnaires</w:t>
      </w:r>
      <w:r>
        <w:t xml:space="preserve"> doivent </w:t>
      </w:r>
      <w:r w:rsidR="007C739A">
        <w:t>faire montre de</w:t>
      </w:r>
      <w:r>
        <w:t xml:space="preserve"> leur capacité à mettre en œuvre toutes les activités répertoriées sous forme de package unique. Les demandes partielles pour des activités individuelles ne seront pas prises en compte. </w:t>
      </w:r>
    </w:p>
    <w:p w14:paraId="31303CF7" w14:textId="52793BE0" w:rsidR="003A2CA0" w:rsidRPr="00C35ED9" w:rsidRDefault="003A2CA0" w:rsidP="0091364B">
      <w:pPr>
        <w:spacing w:after="120" w:line="240" w:lineRule="auto"/>
        <w:jc w:val="both"/>
        <w:rPr>
          <w:rFonts w:cstheme="minorHAnsi"/>
        </w:rPr>
      </w:pPr>
      <w:r>
        <w:t>L</w:t>
      </w:r>
      <w:r w:rsidR="00CE2DF1">
        <w:t>’</w:t>
      </w:r>
      <w:r>
        <w:t>OIM se réserve le droit d</w:t>
      </w:r>
      <w:r w:rsidR="00CE2DF1">
        <w:t>’</w:t>
      </w:r>
      <w:r>
        <w:t>annuler/de réduire la portée des activités prévues ou d</w:t>
      </w:r>
      <w:r w:rsidR="00CE2DF1">
        <w:t>’</w:t>
      </w:r>
      <w:r>
        <w:t>introduire d’autres activités/élargir la portée des activités existantes. Le partenaire de mise en œuvre sélectionné doit être prêt à élaborer un budget détaillé basé sur la proposition soumise dans un délai de deux semaines après réception de la notification de l</w:t>
      </w:r>
      <w:r w:rsidR="00CE2DF1">
        <w:t>’</w:t>
      </w:r>
      <w:r>
        <w:t>OIM.</w:t>
      </w:r>
    </w:p>
    <w:p w14:paraId="7606357F" w14:textId="51D9BABB" w:rsidR="00FB2AA9" w:rsidRPr="00C35ED9" w:rsidRDefault="00FB2AA9" w:rsidP="0091364B">
      <w:pPr>
        <w:spacing w:after="120" w:line="240" w:lineRule="auto"/>
        <w:jc w:val="both"/>
        <w:rPr>
          <w:rFonts w:cstheme="minorHAnsi"/>
        </w:rPr>
      </w:pPr>
      <w:r>
        <w:t xml:space="preserve">Tous les </w:t>
      </w:r>
      <w:r w:rsidR="008F05CC">
        <w:t>soumissionnaires</w:t>
      </w:r>
      <w:r>
        <w:t xml:space="preserve"> recevront un avis écrit, dans les deux semaines suivant la date limite de soumission de la note conceptuelle, du résultat du processus de sélection. S</w:t>
      </w:r>
      <w:r w:rsidR="008F05CC">
        <w:t>’</w:t>
      </w:r>
      <w:r>
        <w:t>i</w:t>
      </w:r>
      <w:r w:rsidR="008F05CC">
        <w:t>l y en a certains</w:t>
      </w:r>
      <w:r>
        <w:t xml:space="preserve"> </w:t>
      </w:r>
      <w:r w:rsidR="008F05CC">
        <w:t xml:space="preserve">qui </w:t>
      </w:r>
      <w:r>
        <w:t>souhaite</w:t>
      </w:r>
      <w:r w:rsidR="008F05CC">
        <w:t>nt</w:t>
      </w:r>
      <w:r>
        <w:t xml:space="preserve"> obtenir des éclaircissements, l</w:t>
      </w:r>
      <w:r w:rsidR="00CE2DF1">
        <w:t>’</w:t>
      </w:r>
      <w:r>
        <w:t xml:space="preserve">OIM fournira une réponse </w:t>
      </w:r>
      <w:r w:rsidR="008F05CC">
        <w:t>sur</w:t>
      </w:r>
      <w:r>
        <w:t xml:space="preserve"> la transparence et l</w:t>
      </w:r>
      <w:r w:rsidR="00CE2DF1">
        <w:t>’</w:t>
      </w:r>
      <w:r>
        <w:t xml:space="preserve">intégrité du processus de sélection entrepris. </w:t>
      </w:r>
    </w:p>
    <w:p w14:paraId="673F44FE" w14:textId="5137980D" w:rsidR="00FB2AA9" w:rsidRPr="00C35ED9" w:rsidRDefault="00FB2AA9" w:rsidP="0091364B">
      <w:pPr>
        <w:spacing w:after="120" w:line="240" w:lineRule="auto"/>
        <w:jc w:val="both"/>
        <w:rPr>
          <w:rFonts w:cstheme="minorHAnsi"/>
        </w:rPr>
      </w:pPr>
      <w:r>
        <w:t>L</w:t>
      </w:r>
      <w:r w:rsidR="008F05CC">
        <w:t>’</w:t>
      </w:r>
      <w:r>
        <w:t xml:space="preserve">OIM se réserve le droit de refuser </w:t>
      </w:r>
      <w:r w:rsidR="008F7F73">
        <w:t>de</w:t>
      </w:r>
      <w:r>
        <w:t xml:space="preserve"> divulg</w:t>
      </w:r>
      <w:r w:rsidR="008F7F73">
        <w:t>uer</w:t>
      </w:r>
      <w:r>
        <w:t xml:space="preserve"> la spécificité de la décision découlant de la mission de l</w:t>
      </w:r>
      <w:r w:rsidR="00CE2DF1">
        <w:t>’</w:t>
      </w:r>
      <w:r>
        <w:t xml:space="preserve">OIM pour des raisons de confidentialité. </w:t>
      </w:r>
    </w:p>
    <w:p w14:paraId="0146A7DB" w14:textId="5DF8B914" w:rsidR="00FB2AA9" w:rsidRPr="00C35ED9" w:rsidRDefault="00FB2AA9" w:rsidP="0091364B">
      <w:pPr>
        <w:spacing w:after="120" w:line="240" w:lineRule="auto"/>
        <w:jc w:val="both"/>
        <w:rPr>
          <w:rFonts w:cstheme="minorHAnsi"/>
        </w:rPr>
      </w:pPr>
      <w:r>
        <w:t>L</w:t>
      </w:r>
      <w:r w:rsidR="00CE2DF1">
        <w:t>’</w:t>
      </w:r>
      <w:r>
        <w:t>OIM se réserve</w:t>
      </w:r>
      <w:r w:rsidR="008F7F73">
        <w:t xml:space="preserve"> également</w:t>
      </w:r>
      <w:r>
        <w:t xml:space="preserve"> le droit d</w:t>
      </w:r>
      <w:r w:rsidR="00CE2DF1">
        <w:t>’</w:t>
      </w:r>
      <w:r>
        <w:t xml:space="preserve">accepter ou de rejeter toute </w:t>
      </w:r>
      <w:r w:rsidR="001409E2">
        <w:t>manifestation</w:t>
      </w:r>
      <w:r>
        <w:t xml:space="preserve"> d</w:t>
      </w:r>
      <w:r w:rsidR="00CE2DF1">
        <w:t>’</w:t>
      </w:r>
      <w:r>
        <w:t>intérêt, d</w:t>
      </w:r>
      <w:r w:rsidR="00CE2DF1">
        <w:t>’</w:t>
      </w:r>
      <w:r>
        <w:t xml:space="preserve">annuler le processus de sélection à tout moment, sans encourir de ce fait la moindre responsabilité vis-à-vis des partenaires de mise en œuvre </w:t>
      </w:r>
      <w:r w:rsidR="001409E2">
        <w:t>soumissionnaires</w:t>
      </w:r>
      <w:r>
        <w:t xml:space="preserve">. </w:t>
      </w:r>
    </w:p>
    <w:p w14:paraId="4BB92CF7" w14:textId="6E94D3EC" w:rsidR="008F4425" w:rsidRDefault="00FB2AA9" w:rsidP="0091364B">
      <w:pPr>
        <w:spacing w:after="120" w:line="240" w:lineRule="auto"/>
        <w:jc w:val="both"/>
      </w:pPr>
      <w:r>
        <w:t>Pour plus d</w:t>
      </w:r>
      <w:r w:rsidR="00CE2DF1">
        <w:t>’</w:t>
      </w:r>
      <w:r>
        <w:t xml:space="preserve">informations, veuillez contacter </w:t>
      </w:r>
      <w:r w:rsidR="00825E35">
        <w:rPr>
          <w:color w:val="4F81BD" w:themeColor="accent1"/>
        </w:rPr>
        <w:t xml:space="preserve">Monsieur TRAORE Amadou, Project Manager RRR ou Monsieur </w:t>
      </w:r>
      <w:r w:rsidR="00CE1E31">
        <w:rPr>
          <w:color w:val="4F81BD" w:themeColor="accent1"/>
        </w:rPr>
        <w:t>MUAMBA Donat</w:t>
      </w:r>
      <w:r w:rsidR="00825E35">
        <w:rPr>
          <w:color w:val="4F81BD" w:themeColor="accent1"/>
        </w:rPr>
        <w:t xml:space="preserve">, Senior </w:t>
      </w:r>
      <w:r w:rsidR="00E163CE">
        <w:rPr>
          <w:color w:val="4F81BD" w:themeColor="accent1"/>
        </w:rPr>
        <w:t>Security Governance</w:t>
      </w:r>
      <w:r w:rsidR="00EF1552">
        <w:rPr>
          <w:color w:val="4F81BD" w:themeColor="accent1"/>
        </w:rPr>
        <w:t xml:space="preserve"> ou Monsieur BUTOTO Assa</w:t>
      </w:r>
      <w:r w:rsidR="00DA43F8">
        <w:rPr>
          <w:color w:val="4F81BD" w:themeColor="accent1"/>
        </w:rPr>
        <w:t>ni</w:t>
      </w:r>
      <w:r w:rsidR="00FF0FEF">
        <w:rPr>
          <w:color w:val="4F81BD" w:themeColor="accent1"/>
        </w:rPr>
        <w:t>, Project Associate</w:t>
      </w:r>
      <w:r>
        <w:rPr>
          <w:color w:val="4F81BD" w:themeColor="accent1"/>
        </w:rPr>
        <w:t xml:space="preserve">, </w:t>
      </w:r>
      <w:r>
        <w:t>par courriel à</w:t>
      </w:r>
      <w:r>
        <w:rPr>
          <w:color w:val="4F81BD" w:themeColor="accent1"/>
        </w:rPr>
        <w:t xml:space="preserve"> </w:t>
      </w:r>
      <w:hyperlink r:id="rId10" w:history="1">
        <w:r w:rsidR="00825E35" w:rsidRPr="0068104E">
          <w:rPr>
            <w:rStyle w:val="Hyperlink"/>
          </w:rPr>
          <w:t>amdtraore@iom.int</w:t>
        </w:r>
      </w:hyperlink>
      <w:r w:rsidR="00825E35">
        <w:rPr>
          <w:color w:val="4F81BD" w:themeColor="accent1"/>
        </w:rPr>
        <w:t xml:space="preserve"> ou </w:t>
      </w:r>
      <w:hyperlink r:id="rId11" w:history="1">
        <w:r w:rsidR="00153C28" w:rsidRPr="007A142F">
          <w:rPr>
            <w:rStyle w:val="Hyperlink"/>
          </w:rPr>
          <w:t>dmuamba@iom.int</w:t>
        </w:r>
      </w:hyperlink>
      <w:r w:rsidR="00FF0FEF">
        <w:t xml:space="preserve"> ou </w:t>
      </w:r>
      <w:hyperlink r:id="rId12" w:history="1">
        <w:r w:rsidR="008F4425" w:rsidRPr="0066044C">
          <w:rPr>
            <w:rStyle w:val="Hyperlink"/>
          </w:rPr>
          <w:t>abutoto@iom.int</w:t>
        </w:r>
      </w:hyperlink>
    </w:p>
    <w:p w14:paraId="47129E51" w14:textId="430EDCC0" w:rsidR="0010606D" w:rsidRPr="00675063" w:rsidRDefault="000E6433" w:rsidP="0091364B">
      <w:pPr>
        <w:spacing w:after="120" w:line="240" w:lineRule="auto"/>
        <w:jc w:val="center"/>
        <w:rPr>
          <w:rFonts w:cstheme="minorHAnsi"/>
          <w:b/>
          <w:bCs/>
        </w:rPr>
      </w:pPr>
      <w:r>
        <w:rPr>
          <w:b/>
        </w:rPr>
        <w:t>Instructions</w:t>
      </w:r>
      <w:r w:rsidR="0010606D">
        <w:rPr>
          <w:b/>
        </w:rPr>
        <w:t xml:space="preserve"> relatives à la soumission des manifestations d</w:t>
      </w:r>
      <w:r w:rsidR="00CE2DF1">
        <w:rPr>
          <w:b/>
        </w:rPr>
        <w:t>’</w:t>
      </w:r>
      <w:r w:rsidR="0010606D">
        <w:rPr>
          <w:b/>
        </w:rPr>
        <w:t>intérêt</w:t>
      </w:r>
    </w:p>
    <w:p w14:paraId="11D07525" w14:textId="6ED5E498" w:rsidR="0010606D" w:rsidRPr="00675063" w:rsidRDefault="0010606D" w:rsidP="0091364B">
      <w:pPr>
        <w:spacing w:after="120" w:line="240" w:lineRule="auto"/>
        <w:jc w:val="both"/>
        <w:rPr>
          <w:rFonts w:cstheme="minorHAnsi"/>
        </w:rPr>
      </w:pPr>
      <w:r>
        <w:t xml:space="preserve">Le présent document contient </w:t>
      </w:r>
      <w:r w:rsidR="000E6433">
        <w:t>les procédures relatives à</w:t>
      </w:r>
      <w:r>
        <w:t xml:space="preserve"> la préparation et </w:t>
      </w:r>
      <w:r w:rsidR="000E6433">
        <w:t xml:space="preserve">à </w:t>
      </w:r>
      <w:r>
        <w:t xml:space="preserve">la présentation de la demande, y compris </w:t>
      </w:r>
      <w:r>
        <w:lastRenderedPageBreak/>
        <w:t>l</w:t>
      </w:r>
      <w:r w:rsidR="00CE2DF1">
        <w:t>’</w:t>
      </w:r>
      <w:r w:rsidR="000E6433">
        <w:t>A</w:t>
      </w:r>
      <w:r>
        <w:t>nnexe A</w:t>
      </w:r>
      <w:r w:rsidR="00CE2DF1">
        <w:t> </w:t>
      </w:r>
      <w:r>
        <w:t xml:space="preserve">: Informations </w:t>
      </w:r>
      <w:r w:rsidR="000E6433">
        <w:t>du partenaire de mise en œuvre.</w:t>
      </w:r>
    </w:p>
    <w:p w14:paraId="5530DF1C" w14:textId="5BBA6AF1" w:rsidR="0010606D" w:rsidRPr="00146B6E" w:rsidRDefault="0010606D" w:rsidP="00146B6E">
      <w:pPr>
        <w:pStyle w:val="ListParagraph"/>
        <w:numPr>
          <w:ilvl w:val="0"/>
          <w:numId w:val="6"/>
        </w:numPr>
        <w:spacing w:after="120" w:line="240" w:lineRule="auto"/>
        <w:contextualSpacing w:val="0"/>
        <w:jc w:val="both"/>
        <w:rPr>
          <w:rFonts w:cstheme="minorHAnsi"/>
        </w:rPr>
      </w:pPr>
      <w:r>
        <w:t xml:space="preserve">La demande doit être soumise </w:t>
      </w:r>
      <w:r w:rsidR="00F52E51">
        <w:t xml:space="preserve">par email </w:t>
      </w:r>
      <w:hyperlink r:id="rId13" w:history="1">
        <w:r w:rsidR="0059773B" w:rsidRPr="005D3FEA">
          <w:rPr>
            <w:rStyle w:val="Hyperlink"/>
            <w:rFonts w:cs="Calibri"/>
            <w:szCs w:val="24"/>
          </w:rPr>
          <w:t>rfqdrc@iom.int</w:t>
        </w:r>
      </w:hyperlink>
      <w:r w:rsidR="00F52E51">
        <w:rPr>
          <w:rStyle w:val="Hyperlink"/>
          <w:rFonts w:cs="Calibri"/>
          <w:szCs w:val="24"/>
        </w:rPr>
        <w:t>,</w:t>
      </w:r>
      <w:r w:rsidR="00F52E51">
        <w:t xml:space="preserve"> au plus tard </w:t>
      </w:r>
      <w:r w:rsidR="002D397E">
        <w:rPr>
          <w:highlight w:val="yellow"/>
        </w:rPr>
        <w:t>2</w:t>
      </w:r>
      <w:r w:rsidR="008F4425">
        <w:rPr>
          <w:highlight w:val="yellow"/>
        </w:rPr>
        <w:t>8</w:t>
      </w:r>
      <w:r w:rsidR="00692F56">
        <w:rPr>
          <w:highlight w:val="yellow"/>
        </w:rPr>
        <w:t xml:space="preserve"> </w:t>
      </w:r>
      <w:r w:rsidR="002D397E">
        <w:rPr>
          <w:highlight w:val="yellow"/>
        </w:rPr>
        <w:t>juillet</w:t>
      </w:r>
      <w:r w:rsidR="00F52E51" w:rsidRPr="0059773B">
        <w:rPr>
          <w:highlight w:val="yellow"/>
        </w:rPr>
        <w:t xml:space="preserve"> 202</w:t>
      </w:r>
      <w:r w:rsidR="002D397E">
        <w:rPr>
          <w:highlight w:val="yellow"/>
        </w:rPr>
        <w:t>6</w:t>
      </w:r>
      <w:r w:rsidR="00F52E51" w:rsidRPr="0059773B">
        <w:rPr>
          <w:highlight w:val="yellow"/>
        </w:rPr>
        <w:t xml:space="preserve"> à 17 heures (GMT+2</w:t>
      </w:r>
      <w:r w:rsidR="00F52E51" w:rsidRPr="00E118CD">
        <w:t>)</w:t>
      </w:r>
      <w:r>
        <w:t>. Toute soumission au-delà de cette date ne sera pas recevable.</w:t>
      </w:r>
    </w:p>
    <w:p w14:paraId="5272E777" w14:textId="14A94F8C" w:rsidR="0010606D" w:rsidRPr="00146B6E" w:rsidRDefault="0010606D" w:rsidP="00146B6E">
      <w:pPr>
        <w:pStyle w:val="ListParagraph"/>
        <w:numPr>
          <w:ilvl w:val="0"/>
          <w:numId w:val="6"/>
        </w:numPr>
        <w:spacing w:after="120" w:line="240" w:lineRule="auto"/>
        <w:contextualSpacing w:val="0"/>
        <w:jc w:val="both"/>
        <w:rPr>
          <w:rFonts w:cstheme="minorHAnsi"/>
        </w:rPr>
      </w:pPr>
      <w:r>
        <w:t>Une description détaillée doit être fournie sur la façon dont les exigences spécifiées dans l</w:t>
      </w:r>
      <w:r w:rsidR="00CE2DF1">
        <w:t>’</w:t>
      </w:r>
      <w:r>
        <w:t>appel à manifestation d</w:t>
      </w:r>
      <w:r w:rsidR="00CE2DF1">
        <w:t>’</w:t>
      </w:r>
      <w:r>
        <w:t>intérêt émis par l</w:t>
      </w:r>
      <w:r w:rsidR="00CE2DF1">
        <w:t>’</w:t>
      </w:r>
      <w:r>
        <w:t>OIM seront adaptées aux capacités, à l</w:t>
      </w:r>
      <w:r w:rsidR="00CE2DF1">
        <w:t>’</w:t>
      </w:r>
      <w:r>
        <w:t>expérience, aux connaissances et à l</w:t>
      </w:r>
      <w:r w:rsidR="00CE2DF1">
        <w:t>’</w:t>
      </w:r>
      <w:r>
        <w:t>expertise des partenaires de mise en œuvre.</w:t>
      </w:r>
    </w:p>
    <w:p w14:paraId="6F8C5834" w14:textId="2FCB6EDD" w:rsidR="0010606D" w:rsidRPr="00146B6E" w:rsidRDefault="0010606D" w:rsidP="00146B6E">
      <w:pPr>
        <w:pStyle w:val="ListParagraph"/>
        <w:numPr>
          <w:ilvl w:val="0"/>
          <w:numId w:val="6"/>
        </w:numPr>
        <w:spacing w:after="120" w:line="240" w:lineRule="auto"/>
        <w:contextualSpacing w:val="0"/>
        <w:jc w:val="both"/>
        <w:rPr>
          <w:rFonts w:cstheme="minorHAnsi"/>
        </w:rPr>
      </w:pPr>
      <w:r>
        <w:t>La soumission doit contenir l’original et une copie de la demande, dans des enveloppes estampillées «</w:t>
      </w:r>
      <w:r w:rsidR="00CE2DF1">
        <w:t> </w:t>
      </w:r>
      <w:r>
        <w:t>Original</w:t>
      </w:r>
      <w:r w:rsidR="00CE2DF1">
        <w:t> </w:t>
      </w:r>
      <w:r>
        <w:t>» et «</w:t>
      </w:r>
      <w:r w:rsidR="00CE2DF1">
        <w:t> </w:t>
      </w:r>
      <w:r>
        <w:t>Copie</w:t>
      </w:r>
      <w:r w:rsidR="00CE2DF1">
        <w:t> </w:t>
      </w:r>
      <w:r>
        <w:t>» selon le cas. S</w:t>
      </w:r>
      <w:r w:rsidR="00CE2DF1">
        <w:t>’</w:t>
      </w:r>
      <w:r>
        <w:t>il est noté des différences entre l</w:t>
      </w:r>
      <w:r w:rsidR="00CE2DF1">
        <w:t>’</w:t>
      </w:r>
      <w:r>
        <w:t>original et la copie, l</w:t>
      </w:r>
      <w:r w:rsidR="00CE2DF1">
        <w:t>’</w:t>
      </w:r>
      <w:r>
        <w:t xml:space="preserve">original fait foi. Les deux enveloppes doivent être </w:t>
      </w:r>
      <w:r w:rsidR="00E92CF0">
        <w:t>mises</w:t>
      </w:r>
      <w:r>
        <w:t xml:space="preserve"> dans une </w:t>
      </w:r>
      <w:r w:rsidR="00E92CF0">
        <w:t xml:space="preserve">autre </w:t>
      </w:r>
      <w:r>
        <w:t xml:space="preserve">enveloppe scellée. </w:t>
      </w:r>
      <w:r w:rsidR="00E92CF0">
        <w:t>Sur l</w:t>
      </w:r>
      <w:r w:rsidR="00CE2DF1">
        <w:t>’</w:t>
      </w:r>
      <w:r>
        <w:t>enveloppe contenant les deux enveloppes</w:t>
      </w:r>
      <w:r w:rsidR="00E92CF0">
        <w:t xml:space="preserve"> (originale et copie) </w:t>
      </w:r>
      <w:r w:rsidR="002A2105">
        <w:t>son</w:t>
      </w:r>
      <w:r w:rsidR="00E92CF0">
        <w:t>t indiqués</w:t>
      </w:r>
      <w:r>
        <w:t xml:space="preserve"> l</w:t>
      </w:r>
      <w:r w:rsidR="00CE2DF1">
        <w:t>’</w:t>
      </w:r>
      <w:r>
        <w:t>adresse d</w:t>
      </w:r>
      <w:r w:rsidR="006E5069">
        <w:t>e</w:t>
      </w:r>
      <w:r>
        <w:t xml:space="preserve"> soumission, le numéro de référence et le titre du projet ainsi que le nom du partenaire de mise en œuvre.</w:t>
      </w:r>
    </w:p>
    <w:p w14:paraId="624AFD11" w14:textId="2CAF114C" w:rsidR="0010606D" w:rsidRPr="00146B6E" w:rsidRDefault="0010606D" w:rsidP="00146B6E">
      <w:pPr>
        <w:pStyle w:val="ListParagraph"/>
        <w:numPr>
          <w:ilvl w:val="0"/>
          <w:numId w:val="6"/>
        </w:numPr>
        <w:spacing w:after="120" w:line="240" w:lineRule="auto"/>
        <w:contextualSpacing w:val="0"/>
        <w:jc w:val="both"/>
        <w:rPr>
          <w:rFonts w:cstheme="minorHAnsi"/>
        </w:rPr>
      </w:pPr>
      <w:r>
        <w:t xml:space="preserve">La soumission doit être présentée dans la langue </w:t>
      </w:r>
      <w:r w:rsidR="0059773B">
        <w:t>française</w:t>
      </w:r>
      <w:r>
        <w:t xml:space="preserve"> et dans le format prescrit par l</w:t>
      </w:r>
      <w:r w:rsidR="00CE2DF1">
        <w:t>’</w:t>
      </w:r>
      <w:r>
        <w:t xml:space="preserve">IOM dans l’appel à manifestation d’intérêt. Toutes les informations requises doivent être fournies, en répondant de façon claire et concise à tous les points énoncés. Toute soumission qui ne répond pas entièrement et de façon exhaustive </w:t>
      </w:r>
      <w:r w:rsidR="00E92CF0">
        <w:t>aux</w:t>
      </w:r>
      <w:r>
        <w:t xml:space="preserve"> exigences indiquées dans l’appel à manifestation d’intérêt peut être rejetée.</w:t>
      </w:r>
    </w:p>
    <w:p w14:paraId="086FBBBA" w14:textId="51FB8F34" w:rsidR="0010606D" w:rsidRPr="00146B6E" w:rsidRDefault="0010606D" w:rsidP="00146B6E">
      <w:pPr>
        <w:pStyle w:val="ListParagraph"/>
        <w:numPr>
          <w:ilvl w:val="0"/>
          <w:numId w:val="6"/>
        </w:numPr>
        <w:spacing w:after="120" w:line="240" w:lineRule="auto"/>
        <w:contextualSpacing w:val="0"/>
        <w:jc w:val="both"/>
        <w:rPr>
          <w:rFonts w:cstheme="minorHAnsi"/>
        </w:rPr>
      </w:pPr>
      <w:r>
        <w:t>Le dossier de soumission doit comprendre les éléments suivants</w:t>
      </w:r>
      <w:r w:rsidR="00CE2DF1">
        <w:t> </w:t>
      </w:r>
      <w:r>
        <w:t>:</w:t>
      </w:r>
    </w:p>
    <w:p w14:paraId="22C83C9E" w14:textId="5134AF6A" w:rsidR="0010606D" w:rsidRPr="00146B6E" w:rsidRDefault="0010606D" w:rsidP="00146B6E">
      <w:pPr>
        <w:pStyle w:val="ListParagraph"/>
        <w:numPr>
          <w:ilvl w:val="1"/>
          <w:numId w:val="6"/>
        </w:numPr>
        <w:spacing w:after="120" w:line="240" w:lineRule="auto"/>
        <w:contextualSpacing w:val="0"/>
        <w:jc w:val="both"/>
        <w:rPr>
          <w:rFonts w:cstheme="minorHAnsi"/>
        </w:rPr>
      </w:pPr>
      <w:r>
        <w:t>Lettre d</w:t>
      </w:r>
      <w:r w:rsidR="00CE2DF1">
        <w:t>’</w:t>
      </w:r>
      <w:r>
        <w:t>accompagnement</w:t>
      </w:r>
      <w:r w:rsidR="00CE2DF1">
        <w:t> </w:t>
      </w:r>
      <w:r>
        <w:t>;</w:t>
      </w:r>
    </w:p>
    <w:p w14:paraId="3C61E994" w14:textId="511FB2F0" w:rsidR="005113CF" w:rsidRPr="005113CF" w:rsidRDefault="0010606D" w:rsidP="00146B6E">
      <w:pPr>
        <w:pStyle w:val="ListParagraph"/>
        <w:numPr>
          <w:ilvl w:val="1"/>
          <w:numId w:val="6"/>
        </w:numPr>
        <w:spacing w:after="120" w:line="240" w:lineRule="auto"/>
        <w:contextualSpacing w:val="0"/>
        <w:jc w:val="both"/>
        <w:rPr>
          <w:rFonts w:cstheme="minorHAnsi"/>
        </w:rPr>
      </w:pPr>
      <w:r>
        <w:t>Le dossier de soumission dument constitué, comme indiqué dans l’appel à manifestation d’intérêt, signée sur toutes les pages par le représentant autorisé du partenaire de mise en œuvre</w:t>
      </w:r>
      <w:r w:rsidR="005113CF">
        <w:t> :</w:t>
      </w:r>
    </w:p>
    <w:p w14:paraId="15A9AD9B" w14:textId="77777777" w:rsidR="005113CF" w:rsidRPr="005113CF" w:rsidRDefault="005113CF" w:rsidP="005113CF">
      <w:pPr>
        <w:pStyle w:val="ListParagraph"/>
        <w:numPr>
          <w:ilvl w:val="0"/>
          <w:numId w:val="16"/>
        </w:numPr>
        <w:spacing w:after="0" w:line="240" w:lineRule="auto"/>
        <w:ind w:left="2154" w:hanging="357"/>
        <w:contextualSpacing w:val="0"/>
        <w:jc w:val="both"/>
        <w:rPr>
          <w:rFonts w:cstheme="minorHAnsi"/>
        </w:rPr>
      </w:pPr>
      <w:r>
        <w:t xml:space="preserve">Annexe B : Liste de contrôle des expériences </w:t>
      </w:r>
    </w:p>
    <w:p w14:paraId="11DBC9CC" w14:textId="77777777" w:rsidR="005113CF" w:rsidRPr="005113CF" w:rsidRDefault="005113CF" w:rsidP="005113CF">
      <w:pPr>
        <w:pStyle w:val="ListParagraph"/>
        <w:numPr>
          <w:ilvl w:val="0"/>
          <w:numId w:val="16"/>
        </w:numPr>
        <w:spacing w:after="0" w:line="240" w:lineRule="auto"/>
        <w:ind w:left="2154" w:hanging="357"/>
        <w:contextualSpacing w:val="0"/>
        <w:jc w:val="both"/>
        <w:rPr>
          <w:rFonts w:cstheme="minorHAnsi"/>
        </w:rPr>
      </w:pPr>
      <w:r>
        <w:t>Annexe C : Questionnaire informations générales sur le soumissionnaire</w:t>
      </w:r>
    </w:p>
    <w:p w14:paraId="5E62A1BB" w14:textId="77777777" w:rsidR="005113CF" w:rsidRPr="005113CF" w:rsidRDefault="005113CF" w:rsidP="005113CF">
      <w:pPr>
        <w:pStyle w:val="ListParagraph"/>
        <w:numPr>
          <w:ilvl w:val="0"/>
          <w:numId w:val="16"/>
        </w:numPr>
        <w:spacing w:after="0" w:line="240" w:lineRule="auto"/>
        <w:ind w:left="2154" w:hanging="357"/>
        <w:contextualSpacing w:val="0"/>
        <w:jc w:val="both"/>
        <w:rPr>
          <w:rFonts w:cstheme="minorHAnsi"/>
        </w:rPr>
      </w:pPr>
      <w:r>
        <w:t>Annexe D : Modèle de note conceptuelle</w:t>
      </w:r>
    </w:p>
    <w:p w14:paraId="466490D2" w14:textId="05E22054" w:rsidR="0010606D" w:rsidRPr="00146B6E" w:rsidRDefault="005113CF" w:rsidP="005113CF">
      <w:pPr>
        <w:pStyle w:val="ListParagraph"/>
        <w:numPr>
          <w:ilvl w:val="0"/>
          <w:numId w:val="16"/>
        </w:numPr>
        <w:spacing w:after="0" w:line="240" w:lineRule="auto"/>
        <w:ind w:left="2154" w:hanging="357"/>
        <w:contextualSpacing w:val="0"/>
        <w:jc w:val="both"/>
        <w:rPr>
          <w:rFonts w:cstheme="minorHAnsi"/>
        </w:rPr>
      </w:pPr>
      <w:r>
        <w:t xml:space="preserve">Annexe E : Budget </w:t>
      </w:r>
      <w:r w:rsidR="0010606D">
        <w:t>; et</w:t>
      </w:r>
    </w:p>
    <w:p w14:paraId="4213D5EB" w14:textId="105C060B" w:rsidR="0010606D" w:rsidRPr="00146B6E" w:rsidRDefault="0010606D" w:rsidP="00146B6E">
      <w:pPr>
        <w:pStyle w:val="ListParagraph"/>
        <w:numPr>
          <w:ilvl w:val="1"/>
          <w:numId w:val="6"/>
        </w:numPr>
        <w:spacing w:after="120" w:line="240" w:lineRule="auto"/>
        <w:contextualSpacing w:val="0"/>
        <w:jc w:val="both"/>
        <w:rPr>
          <w:rFonts w:cstheme="minorHAnsi"/>
        </w:rPr>
      </w:pPr>
      <w:r>
        <w:t>Tout autre document pertinent</w:t>
      </w:r>
      <w:r w:rsidR="00FD283E">
        <w:t>.</w:t>
      </w:r>
    </w:p>
    <w:p w14:paraId="1D7D3665" w14:textId="101B8962" w:rsidR="0010606D" w:rsidRPr="00146B6E" w:rsidRDefault="0010606D" w:rsidP="00146B6E">
      <w:pPr>
        <w:pStyle w:val="ListParagraph"/>
        <w:numPr>
          <w:ilvl w:val="0"/>
          <w:numId w:val="6"/>
        </w:numPr>
        <w:spacing w:after="120" w:line="240" w:lineRule="auto"/>
        <w:contextualSpacing w:val="0"/>
        <w:jc w:val="both"/>
        <w:rPr>
          <w:rFonts w:cstheme="minorHAnsi"/>
        </w:rPr>
      </w:pPr>
      <w:r>
        <w:t>Les demandes peuvent être modifiées ou retirées par écrit, avant la date de clôture indiquée. Les demandes ne peuvent pas être modifiées ou retirées après le délai</w:t>
      </w:r>
      <w:r w:rsidR="00FD283E">
        <w:t xml:space="preserve"> de soumission</w:t>
      </w:r>
      <w:r>
        <w:t>.</w:t>
      </w:r>
    </w:p>
    <w:p w14:paraId="34E8F298" w14:textId="3300D792" w:rsidR="0010606D" w:rsidRPr="00146B6E" w:rsidRDefault="0010606D" w:rsidP="00146B6E">
      <w:pPr>
        <w:pStyle w:val="ListParagraph"/>
        <w:numPr>
          <w:ilvl w:val="0"/>
          <w:numId w:val="6"/>
        </w:numPr>
        <w:spacing w:after="120" w:line="240" w:lineRule="auto"/>
        <w:contextualSpacing w:val="0"/>
        <w:jc w:val="both"/>
        <w:rPr>
          <w:rFonts w:cstheme="minorHAnsi"/>
        </w:rPr>
      </w:pPr>
      <w:r>
        <w:t>Le partenaire de mise en œuvre prend en charge tous les coûts associés à la préparation et à la soumission de la demande et l</w:t>
      </w:r>
      <w:r w:rsidR="00CE2DF1">
        <w:t>’</w:t>
      </w:r>
      <w:r>
        <w:t xml:space="preserve">OIM ne sera en aucun cas responsable des coûts encourus. </w:t>
      </w:r>
    </w:p>
    <w:p w14:paraId="7FD631F6" w14:textId="2F760550" w:rsidR="0010606D" w:rsidRPr="00146B6E" w:rsidRDefault="0010606D" w:rsidP="00146B6E">
      <w:pPr>
        <w:pStyle w:val="ListParagraph"/>
        <w:numPr>
          <w:ilvl w:val="0"/>
          <w:numId w:val="6"/>
        </w:numPr>
        <w:spacing w:after="120" w:line="240" w:lineRule="auto"/>
        <w:contextualSpacing w:val="0"/>
        <w:jc w:val="both"/>
        <w:rPr>
          <w:rFonts w:cstheme="minorHAnsi"/>
        </w:rPr>
      </w:pPr>
      <w:r>
        <w:t>L</w:t>
      </w:r>
      <w:r w:rsidR="00CE2DF1">
        <w:t>’</w:t>
      </w:r>
      <w:r>
        <w:t>OIM ne demande</w:t>
      </w:r>
      <w:r w:rsidR="00FD283E">
        <w:t xml:space="preserve"> à aucune étape du processus</w:t>
      </w:r>
      <w:r>
        <w:t xml:space="preserve"> des frais de dossier aux partenaires de mise en œuvre.</w:t>
      </w:r>
    </w:p>
    <w:p w14:paraId="2AD24425" w14:textId="2D5CD5C4" w:rsidR="0010606D" w:rsidRDefault="0010606D" w:rsidP="00146B6E">
      <w:pPr>
        <w:pStyle w:val="ListParagraph"/>
        <w:numPr>
          <w:ilvl w:val="0"/>
          <w:numId w:val="6"/>
        </w:numPr>
        <w:spacing w:after="120" w:line="240" w:lineRule="auto"/>
        <w:contextualSpacing w:val="0"/>
        <w:jc w:val="both"/>
      </w:pPr>
      <w:r>
        <w:t xml:space="preserve">Toutes les informations fournies par écrit ou communiquées verbalement aux partenaires de mise en œuvre conformément à l’appel à manifestation d’intérêt doivent être traitées comme strictement confidentielles. Le partenaire </w:t>
      </w:r>
      <w:r w:rsidR="002A2105">
        <w:t xml:space="preserve">de </w:t>
      </w:r>
      <w:r>
        <w:t xml:space="preserve">mise en œuvre ne doit pas partager ou </w:t>
      </w:r>
      <w:r w:rsidR="00FD283E">
        <w:t>divulguer</w:t>
      </w:r>
      <w:r>
        <w:t xml:space="preserve"> ces informations à un tiers sans l</w:t>
      </w:r>
      <w:r w:rsidR="00CE2DF1">
        <w:t>’</w:t>
      </w:r>
      <w:r>
        <w:t>approbation écrite préalable de l</w:t>
      </w:r>
      <w:r w:rsidR="00CE2DF1">
        <w:t>’</w:t>
      </w:r>
      <w:r>
        <w:t xml:space="preserve">OIM. </w:t>
      </w:r>
      <w:r w:rsidR="000700BA">
        <w:t>Le respect de cette</w:t>
      </w:r>
      <w:r>
        <w:t xml:space="preserve"> obligation s’applique </w:t>
      </w:r>
      <w:r w:rsidR="000700BA">
        <w:t xml:space="preserve">même </w:t>
      </w:r>
      <w:r>
        <w:t>après le processus de sélection, que le dossier du partenaire de mise en œuvre soit retenu ou non.</w:t>
      </w:r>
    </w:p>
    <w:p w14:paraId="03ECE804" w14:textId="5027A7DB" w:rsidR="004A489B" w:rsidRDefault="004A489B" w:rsidP="00146B6E">
      <w:pPr>
        <w:pStyle w:val="ListParagraph"/>
        <w:numPr>
          <w:ilvl w:val="0"/>
          <w:numId w:val="6"/>
        </w:numPr>
        <w:spacing w:after="120" w:line="240" w:lineRule="auto"/>
        <w:contextualSpacing w:val="0"/>
        <w:jc w:val="both"/>
      </w:pPr>
      <w:r>
        <w:t>L</w:t>
      </w:r>
      <w:r w:rsidR="00CE2DF1">
        <w:t>’</w:t>
      </w:r>
      <w:r>
        <w:t>OIM traitera toutes les informations (ou celles portant la mention propriétaire/sensible/financière) reçues des partenaires de mise en œuvre comme étant confidentielles et toutes les données personnelles conformément à ses principes de protection des données.</w:t>
      </w:r>
    </w:p>
    <w:p w14:paraId="282A78C8" w14:textId="0F894DE2" w:rsidR="004A489B" w:rsidRPr="00675063" w:rsidRDefault="004A489B" w:rsidP="00146B6E">
      <w:pPr>
        <w:pStyle w:val="ListParagraph"/>
        <w:numPr>
          <w:ilvl w:val="0"/>
          <w:numId w:val="6"/>
        </w:numPr>
        <w:spacing w:after="120" w:line="240" w:lineRule="auto"/>
        <w:contextualSpacing w:val="0"/>
        <w:jc w:val="both"/>
      </w:pPr>
      <w:r>
        <w:t>Le partenaire de mise en œuvre, en soumettant une demande, donne son consentement à l</w:t>
      </w:r>
      <w:r w:rsidR="00CE2DF1">
        <w:t>’</w:t>
      </w:r>
      <w:r>
        <w:t>OIM pour partager des informations pouvant le concernant avec d’autres acteurs aux fins de l</w:t>
      </w:r>
      <w:r w:rsidR="00CE2DF1">
        <w:t>’</w:t>
      </w:r>
      <w:r>
        <w:t xml:space="preserve">évaluation et de la gestion de </w:t>
      </w:r>
      <w:r w:rsidR="000700BA">
        <w:t>s</w:t>
      </w:r>
      <w:r>
        <w:t>a proposition.</w:t>
      </w:r>
    </w:p>
    <w:p w14:paraId="5DEC43FB" w14:textId="19C82A63" w:rsidR="0010606D" w:rsidRPr="00146B6E" w:rsidRDefault="0010606D" w:rsidP="00146B6E">
      <w:pPr>
        <w:pStyle w:val="ListParagraph"/>
        <w:numPr>
          <w:ilvl w:val="0"/>
          <w:numId w:val="6"/>
        </w:numPr>
        <w:spacing w:after="120" w:line="240" w:lineRule="auto"/>
        <w:contextualSpacing w:val="0"/>
        <w:jc w:val="both"/>
        <w:rPr>
          <w:rFonts w:cstheme="minorHAnsi"/>
        </w:rPr>
      </w:pPr>
      <w:r>
        <w:t>L</w:t>
      </w:r>
      <w:r w:rsidR="00CE2DF1">
        <w:t>’</w:t>
      </w:r>
      <w:r>
        <w:t>OIM se réserve le droit d</w:t>
      </w:r>
      <w:r w:rsidR="00CE2DF1">
        <w:t>’</w:t>
      </w:r>
      <w:r>
        <w:t>accepter ou de rejeter toute demande, d</w:t>
      </w:r>
      <w:r w:rsidR="00CE2DF1">
        <w:t>’</w:t>
      </w:r>
      <w:r>
        <w:t xml:space="preserve">annuler le processus et de rejeter toutes les demandes, à tout moment sans encourir de ce fait la moindre responsabilité vis-à-vis des partenaires de mise en œuvre </w:t>
      </w:r>
      <w:r w:rsidR="000700BA">
        <w:t>soumissionnaires</w:t>
      </w:r>
      <w:r>
        <w:t xml:space="preserve"> ou sans obligation de </w:t>
      </w:r>
      <w:r w:rsidR="000700BA">
        <w:t>leur</w:t>
      </w:r>
      <w:r>
        <w:t xml:space="preserve"> informer du motif de </w:t>
      </w:r>
      <w:r w:rsidR="000700BA">
        <w:t xml:space="preserve">son </w:t>
      </w:r>
      <w:r>
        <w:t>action.</w:t>
      </w:r>
    </w:p>
    <w:p w14:paraId="26C29C83" w14:textId="2D7F4C59" w:rsidR="00EC2967" w:rsidRPr="00F52E51" w:rsidRDefault="7C7DAED6" w:rsidP="0091364B">
      <w:pPr>
        <w:spacing w:after="120" w:line="240" w:lineRule="auto"/>
        <w:rPr>
          <w:rFonts w:ascii="Calibri" w:eastAsia="Calibri" w:hAnsi="Calibri" w:cs="Calibri"/>
        </w:rPr>
      </w:pPr>
      <w:r>
        <w:rPr>
          <w:rFonts w:ascii="Calibri" w:hAnsi="Calibri"/>
        </w:rPr>
        <w:t xml:space="preserve"> </w:t>
      </w:r>
    </w:p>
    <w:sectPr w:rsidR="00EC2967" w:rsidRPr="00F52E51" w:rsidSect="00F33DEE">
      <w:headerReference w:type="default" r:id="rId14"/>
      <w:footerReference w:type="default" r:id="rId15"/>
      <w:headerReference w:type="first" r:id="rId16"/>
      <w:pgSz w:w="11920" w:h="16840"/>
      <w:pgMar w:top="720" w:right="720" w:bottom="720" w:left="720" w:header="432" w:footer="8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95B62" w14:textId="77777777" w:rsidR="00DE0D01" w:rsidRDefault="00DE0D01">
      <w:pPr>
        <w:spacing w:after="0" w:line="240" w:lineRule="auto"/>
      </w:pPr>
      <w:r>
        <w:separator/>
      </w:r>
    </w:p>
  </w:endnote>
  <w:endnote w:type="continuationSeparator" w:id="0">
    <w:p w14:paraId="16D9040D" w14:textId="77777777" w:rsidR="00DE0D01" w:rsidRDefault="00DE0D01">
      <w:pPr>
        <w:spacing w:after="0" w:line="240" w:lineRule="auto"/>
      </w:pPr>
      <w:r>
        <w:continuationSeparator/>
      </w:r>
    </w:p>
  </w:endnote>
  <w:endnote w:type="continuationNotice" w:id="1">
    <w:p w14:paraId="403D89E1" w14:textId="77777777" w:rsidR="00DE0D01" w:rsidRDefault="00DE0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27AD" w14:textId="27638E6A" w:rsidR="00102CD5" w:rsidRDefault="00102CD5">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9C56" w14:textId="77777777" w:rsidR="00DE0D01" w:rsidRDefault="00DE0D01">
      <w:pPr>
        <w:spacing w:after="0" w:line="240" w:lineRule="auto"/>
      </w:pPr>
      <w:r>
        <w:separator/>
      </w:r>
    </w:p>
  </w:footnote>
  <w:footnote w:type="continuationSeparator" w:id="0">
    <w:p w14:paraId="690BD3B5" w14:textId="77777777" w:rsidR="00DE0D01" w:rsidRDefault="00DE0D01">
      <w:pPr>
        <w:spacing w:after="0" w:line="240" w:lineRule="auto"/>
      </w:pPr>
      <w:r>
        <w:continuationSeparator/>
      </w:r>
    </w:p>
  </w:footnote>
  <w:footnote w:type="continuationNotice" w:id="1">
    <w:p w14:paraId="0C29FC50" w14:textId="77777777" w:rsidR="00DE0D01" w:rsidRDefault="00DE0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D7AB" w14:textId="4A6CBEB9" w:rsidR="00102CD5" w:rsidRDefault="00102CD5" w:rsidP="00F33DEE">
    <w:pPr>
      <w:spacing w:after="0" w:line="200" w:lineRule="exact"/>
      <w:rPr>
        <w:color w:val="FF0000"/>
        <w:sz w:val="20"/>
        <w:szCs w:val="20"/>
      </w:rPr>
    </w:pPr>
  </w:p>
  <w:p w14:paraId="4B76699E" w14:textId="7B0650F9" w:rsidR="00102CD5" w:rsidRDefault="00102CD5" w:rsidP="00675063">
    <w:pPr>
      <w:spacing w:after="0" w:line="200" w:lineRule="exact"/>
      <w:jc w:val="center"/>
      <w:rPr>
        <w:color w:val="FF0000"/>
        <w:sz w:val="20"/>
        <w:szCs w:val="20"/>
      </w:rPr>
    </w:pPr>
    <w:r>
      <w:rPr>
        <w:noProof/>
        <w:color w:val="FF0000"/>
        <w:sz w:val="20"/>
      </w:rPr>
      <w:drawing>
        <wp:inline distT="0" distB="0" distL="0" distR="0" wp14:anchorId="4672E7E0" wp14:editId="593C57EF">
          <wp:extent cx="1835150" cy="76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683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3FDA" w14:textId="612C64F9" w:rsidR="00102CD5" w:rsidRDefault="00102CD5" w:rsidP="00F33DEE">
    <w:pPr>
      <w:pStyle w:val="Header"/>
      <w:jc w:val="center"/>
    </w:pPr>
    <w:r>
      <w:rPr>
        <w:noProof/>
      </w:rPr>
      <w:drawing>
        <wp:inline distT="0" distB="0" distL="0" distR="0" wp14:anchorId="7F2A9140" wp14:editId="1BBD5806">
          <wp:extent cx="1463040" cy="610373"/>
          <wp:effectExtent l="0" t="0" r="381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0518" cy="6134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3A4"/>
    <w:multiLevelType w:val="hybridMultilevel"/>
    <w:tmpl w:val="0A74623C"/>
    <w:lvl w:ilvl="0" w:tplc="AEC423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9F6841"/>
    <w:multiLevelType w:val="hybridMultilevel"/>
    <w:tmpl w:val="AD4A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37D7C"/>
    <w:multiLevelType w:val="hybridMultilevel"/>
    <w:tmpl w:val="9C76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558AB"/>
    <w:multiLevelType w:val="hybridMultilevel"/>
    <w:tmpl w:val="D0E8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E7E28"/>
    <w:multiLevelType w:val="hybridMultilevel"/>
    <w:tmpl w:val="4D74D316"/>
    <w:lvl w:ilvl="0" w:tplc="E1C2696A">
      <w:start w:val="2"/>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0D0CF8"/>
    <w:multiLevelType w:val="hybridMultilevel"/>
    <w:tmpl w:val="A5309EDA"/>
    <w:lvl w:ilvl="0" w:tplc="7FB01D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50048"/>
    <w:multiLevelType w:val="hybridMultilevel"/>
    <w:tmpl w:val="0AAC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DCA8D"/>
    <w:multiLevelType w:val="hybridMultilevel"/>
    <w:tmpl w:val="F8DD610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7F4A1A"/>
    <w:multiLevelType w:val="hybridMultilevel"/>
    <w:tmpl w:val="395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73A7D"/>
    <w:multiLevelType w:val="hybridMultilevel"/>
    <w:tmpl w:val="562A234E"/>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58BB51AE"/>
    <w:multiLevelType w:val="hybridMultilevel"/>
    <w:tmpl w:val="867243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A662BD"/>
    <w:multiLevelType w:val="hybridMultilevel"/>
    <w:tmpl w:val="56A2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84A14"/>
    <w:multiLevelType w:val="hybridMultilevel"/>
    <w:tmpl w:val="44D0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33B08"/>
    <w:multiLevelType w:val="hybridMultilevel"/>
    <w:tmpl w:val="8D1A8192"/>
    <w:lvl w:ilvl="0" w:tplc="45C2AE32">
      <w:start w:val="1"/>
      <w:numFmt w:val="decimal"/>
      <w:lvlText w:val="%1."/>
      <w:lvlJc w:val="left"/>
      <w:pPr>
        <w:ind w:left="1440" w:hanging="720"/>
      </w:pPr>
      <w:rPr>
        <w:rFonts w:hint="default"/>
      </w:rPr>
    </w:lvl>
    <w:lvl w:ilvl="1" w:tplc="2EFE2C8C">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7E02173"/>
    <w:multiLevelType w:val="hybridMultilevel"/>
    <w:tmpl w:val="C4FA4B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0A7489"/>
    <w:multiLevelType w:val="hybridMultilevel"/>
    <w:tmpl w:val="1ABCF9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BE262C"/>
    <w:multiLevelType w:val="hybridMultilevel"/>
    <w:tmpl w:val="4C46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693703"/>
    <w:multiLevelType w:val="hybridMultilevel"/>
    <w:tmpl w:val="5AE0B9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53305755">
    <w:abstractNumId w:val="17"/>
  </w:num>
  <w:num w:numId="2" w16cid:durableId="320355754">
    <w:abstractNumId w:val="13"/>
  </w:num>
  <w:num w:numId="3" w16cid:durableId="614823338">
    <w:abstractNumId w:val="9"/>
  </w:num>
  <w:num w:numId="4" w16cid:durableId="161090599">
    <w:abstractNumId w:val="5"/>
  </w:num>
  <w:num w:numId="5" w16cid:durableId="1391997577">
    <w:abstractNumId w:val="14"/>
  </w:num>
  <w:num w:numId="6" w16cid:durableId="383483502">
    <w:abstractNumId w:val="15"/>
  </w:num>
  <w:num w:numId="7" w16cid:durableId="1783912758">
    <w:abstractNumId w:val="10"/>
  </w:num>
  <w:num w:numId="8" w16cid:durableId="491794157">
    <w:abstractNumId w:val="0"/>
  </w:num>
  <w:num w:numId="9" w16cid:durableId="512115188">
    <w:abstractNumId w:val="2"/>
  </w:num>
  <w:num w:numId="10" w16cid:durableId="1600216988">
    <w:abstractNumId w:val="1"/>
  </w:num>
  <w:num w:numId="11" w16cid:durableId="1037582411">
    <w:abstractNumId w:val="12"/>
  </w:num>
  <w:num w:numId="12" w16cid:durableId="1005742940">
    <w:abstractNumId w:val="3"/>
  </w:num>
  <w:num w:numId="13" w16cid:durableId="1472014354">
    <w:abstractNumId w:val="6"/>
  </w:num>
  <w:num w:numId="14" w16cid:durableId="983241813">
    <w:abstractNumId w:val="8"/>
  </w:num>
  <w:num w:numId="15" w16cid:durableId="715011303">
    <w:abstractNumId w:val="7"/>
  </w:num>
  <w:num w:numId="16" w16cid:durableId="774597669">
    <w:abstractNumId w:val="4"/>
  </w:num>
  <w:num w:numId="17" w16cid:durableId="1222865310">
    <w:abstractNumId w:val="11"/>
  </w:num>
  <w:num w:numId="18" w16cid:durableId="13105496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3E95"/>
    <w:rsid w:val="0004151B"/>
    <w:rsid w:val="000438CA"/>
    <w:rsid w:val="00050AD0"/>
    <w:rsid w:val="00057A2E"/>
    <w:rsid w:val="000700BA"/>
    <w:rsid w:val="000A543A"/>
    <w:rsid w:val="000E24EA"/>
    <w:rsid w:val="000E6433"/>
    <w:rsid w:val="000F1A07"/>
    <w:rsid w:val="000F2152"/>
    <w:rsid w:val="00102CD5"/>
    <w:rsid w:val="0010606D"/>
    <w:rsid w:val="001078AE"/>
    <w:rsid w:val="001137F5"/>
    <w:rsid w:val="00113CFF"/>
    <w:rsid w:val="001409E2"/>
    <w:rsid w:val="00146B6E"/>
    <w:rsid w:val="00153C28"/>
    <w:rsid w:val="001758BD"/>
    <w:rsid w:val="00182A80"/>
    <w:rsid w:val="0019324C"/>
    <w:rsid w:val="001A49E6"/>
    <w:rsid w:val="001B1F35"/>
    <w:rsid w:val="001B6457"/>
    <w:rsid w:val="001D0799"/>
    <w:rsid w:val="001D6EC5"/>
    <w:rsid w:val="001E5D12"/>
    <w:rsid w:val="001E5DD2"/>
    <w:rsid w:val="001E6E15"/>
    <w:rsid w:val="002077F1"/>
    <w:rsid w:val="0024366C"/>
    <w:rsid w:val="00277F80"/>
    <w:rsid w:val="002850B1"/>
    <w:rsid w:val="002A2105"/>
    <w:rsid w:val="002B55D0"/>
    <w:rsid w:val="002D397E"/>
    <w:rsid w:val="003112FF"/>
    <w:rsid w:val="00323112"/>
    <w:rsid w:val="00323867"/>
    <w:rsid w:val="00345965"/>
    <w:rsid w:val="00374301"/>
    <w:rsid w:val="0038794F"/>
    <w:rsid w:val="003A2CA0"/>
    <w:rsid w:val="003A5E5A"/>
    <w:rsid w:val="003A7D0E"/>
    <w:rsid w:val="003D07AD"/>
    <w:rsid w:val="003E10D9"/>
    <w:rsid w:val="00400AA7"/>
    <w:rsid w:val="00451B60"/>
    <w:rsid w:val="004761BE"/>
    <w:rsid w:val="00491582"/>
    <w:rsid w:val="00492F8C"/>
    <w:rsid w:val="004A489B"/>
    <w:rsid w:val="004C3B21"/>
    <w:rsid w:val="004D6F8C"/>
    <w:rsid w:val="0050495C"/>
    <w:rsid w:val="005113CF"/>
    <w:rsid w:val="00527DEB"/>
    <w:rsid w:val="00546049"/>
    <w:rsid w:val="00557F86"/>
    <w:rsid w:val="00563AD6"/>
    <w:rsid w:val="00575C81"/>
    <w:rsid w:val="00593A8F"/>
    <w:rsid w:val="0059773B"/>
    <w:rsid w:val="005C2776"/>
    <w:rsid w:val="005E5531"/>
    <w:rsid w:val="005F5E74"/>
    <w:rsid w:val="005F6C1E"/>
    <w:rsid w:val="00625FD6"/>
    <w:rsid w:val="00675063"/>
    <w:rsid w:val="00687115"/>
    <w:rsid w:val="00692F56"/>
    <w:rsid w:val="006966FA"/>
    <w:rsid w:val="006D5363"/>
    <w:rsid w:val="006E16CF"/>
    <w:rsid w:val="006E5069"/>
    <w:rsid w:val="006F2037"/>
    <w:rsid w:val="00714654"/>
    <w:rsid w:val="00716266"/>
    <w:rsid w:val="00725627"/>
    <w:rsid w:val="00761688"/>
    <w:rsid w:val="0076685B"/>
    <w:rsid w:val="0076724B"/>
    <w:rsid w:val="00780E9E"/>
    <w:rsid w:val="007942F6"/>
    <w:rsid w:val="0079606A"/>
    <w:rsid w:val="007B1F24"/>
    <w:rsid w:val="007C739A"/>
    <w:rsid w:val="007F486A"/>
    <w:rsid w:val="0082599D"/>
    <w:rsid w:val="00825E35"/>
    <w:rsid w:val="00846B44"/>
    <w:rsid w:val="00876029"/>
    <w:rsid w:val="00884535"/>
    <w:rsid w:val="00890ECB"/>
    <w:rsid w:val="008B5A53"/>
    <w:rsid w:val="008C5E7E"/>
    <w:rsid w:val="008C750E"/>
    <w:rsid w:val="008F05CC"/>
    <w:rsid w:val="008F4425"/>
    <w:rsid w:val="008F7F73"/>
    <w:rsid w:val="0091364B"/>
    <w:rsid w:val="009908C7"/>
    <w:rsid w:val="009A071E"/>
    <w:rsid w:val="009E62F3"/>
    <w:rsid w:val="00A03E4E"/>
    <w:rsid w:val="00A2585B"/>
    <w:rsid w:val="00A44CC8"/>
    <w:rsid w:val="00A634C0"/>
    <w:rsid w:val="00A659CB"/>
    <w:rsid w:val="00AB0956"/>
    <w:rsid w:val="00AC0AAB"/>
    <w:rsid w:val="00AF438F"/>
    <w:rsid w:val="00B11DB1"/>
    <w:rsid w:val="00B12D67"/>
    <w:rsid w:val="00B44CD6"/>
    <w:rsid w:val="00B46786"/>
    <w:rsid w:val="00B50929"/>
    <w:rsid w:val="00B556AC"/>
    <w:rsid w:val="00B609AB"/>
    <w:rsid w:val="00B70FC7"/>
    <w:rsid w:val="00B94B57"/>
    <w:rsid w:val="00BA1969"/>
    <w:rsid w:val="00BC1CDE"/>
    <w:rsid w:val="00BC2CA1"/>
    <w:rsid w:val="00BD6922"/>
    <w:rsid w:val="00BE7956"/>
    <w:rsid w:val="00BF2FBA"/>
    <w:rsid w:val="00C11B8E"/>
    <w:rsid w:val="00C1568C"/>
    <w:rsid w:val="00C35ED9"/>
    <w:rsid w:val="00C529A8"/>
    <w:rsid w:val="00C53BCD"/>
    <w:rsid w:val="00C60266"/>
    <w:rsid w:val="00C65113"/>
    <w:rsid w:val="00CB52D3"/>
    <w:rsid w:val="00CB66D2"/>
    <w:rsid w:val="00CC64CD"/>
    <w:rsid w:val="00CE1E31"/>
    <w:rsid w:val="00CE2DF1"/>
    <w:rsid w:val="00D00051"/>
    <w:rsid w:val="00D06564"/>
    <w:rsid w:val="00D27D78"/>
    <w:rsid w:val="00D4093D"/>
    <w:rsid w:val="00D561EE"/>
    <w:rsid w:val="00D710D4"/>
    <w:rsid w:val="00D8642B"/>
    <w:rsid w:val="00DA43F8"/>
    <w:rsid w:val="00DB5949"/>
    <w:rsid w:val="00DC047D"/>
    <w:rsid w:val="00DE0D01"/>
    <w:rsid w:val="00DE5030"/>
    <w:rsid w:val="00E118CD"/>
    <w:rsid w:val="00E163CE"/>
    <w:rsid w:val="00E8114C"/>
    <w:rsid w:val="00E830FA"/>
    <w:rsid w:val="00E92CF0"/>
    <w:rsid w:val="00EA457F"/>
    <w:rsid w:val="00EA4596"/>
    <w:rsid w:val="00EC2967"/>
    <w:rsid w:val="00EC6879"/>
    <w:rsid w:val="00EE490E"/>
    <w:rsid w:val="00EF1552"/>
    <w:rsid w:val="00F0516B"/>
    <w:rsid w:val="00F33DEE"/>
    <w:rsid w:val="00F52E51"/>
    <w:rsid w:val="00F55B2C"/>
    <w:rsid w:val="00F91072"/>
    <w:rsid w:val="00FA5296"/>
    <w:rsid w:val="00FB2AA9"/>
    <w:rsid w:val="00FD283E"/>
    <w:rsid w:val="00FD5474"/>
    <w:rsid w:val="00FE5CE8"/>
    <w:rsid w:val="00FF0FEF"/>
    <w:rsid w:val="068D963E"/>
    <w:rsid w:val="085D548D"/>
    <w:rsid w:val="0C9FE766"/>
    <w:rsid w:val="0ED548F2"/>
    <w:rsid w:val="24D80BAF"/>
    <w:rsid w:val="3B7FBA70"/>
    <w:rsid w:val="3C290A7F"/>
    <w:rsid w:val="599EE468"/>
    <w:rsid w:val="629A3063"/>
    <w:rsid w:val="6881C3CE"/>
    <w:rsid w:val="6E870681"/>
    <w:rsid w:val="71F90426"/>
    <w:rsid w:val="7C7DAED6"/>
    <w:rsid w:val="7DD9515B"/>
    <w:rsid w:val="7F30D5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BCEC958F-2E02-4FC9-AE1C-836F41DF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922"/>
  </w:style>
  <w:style w:type="paragraph" w:styleId="Footer">
    <w:name w:val="footer"/>
    <w:basedOn w:val="Normal"/>
    <w:link w:val="FooterChar"/>
    <w:uiPriority w:val="99"/>
    <w:unhideWhenUsed/>
    <w:rsid w:val="00BD6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922"/>
  </w:style>
  <w:style w:type="paragraph" w:styleId="ListParagraph">
    <w:name w:val="List Paragraph"/>
    <w:aliases w:val="Bullets,Liste à puce - Normal,lp1,References,List Bullet Mary,List Paragraph (numbered (a)),Colorful List - Accent 11,List Paragraph Char Char Char,Liste 1,Medium Grid 1 - Accent 21,List Paragraph nowy,Numbered List Paragraph,Puces"/>
    <w:basedOn w:val="Normal"/>
    <w:link w:val="ListParagraphChar"/>
    <w:uiPriority w:val="34"/>
    <w:qFormat/>
    <w:rsid w:val="0010606D"/>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04151B"/>
    <w:pPr>
      <w:widowControl/>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51B"/>
    <w:rPr>
      <w:sz w:val="20"/>
      <w:szCs w:val="20"/>
    </w:rPr>
  </w:style>
  <w:style w:type="character" w:styleId="FootnoteReference">
    <w:name w:val="footnote reference"/>
    <w:basedOn w:val="DefaultParagraphFont"/>
    <w:uiPriority w:val="99"/>
    <w:semiHidden/>
    <w:unhideWhenUsed/>
    <w:rsid w:val="0004151B"/>
    <w:rPr>
      <w:vertAlign w:val="superscript"/>
    </w:rPr>
  </w:style>
  <w:style w:type="character" w:styleId="Hyperlink">
    <w:name w:val="Hyperlink"/>
    <w:basedOn w:val="DefaultParagraphFont"/>
    <w:uiPriority w:val="99"/>
    <w:unhideWhenUsed/>
    <w:rsid w:val="00825E35"/>
    <w:rPr>
      <w:color w:val="0000FF" w:themeColor="hyperlink"/>
      <w:u w:val="single"/>
    </w:rPr>
  </w:style>
  <w:style w:type="character" w:styleId="UnresolvedMention">
    <w:name w:val="Unresolved Mention"/>
    <w:basedOn w:val="DefaultParagraphFont"/>
    <w:uiPriority w:val="99"/>
    <w:semiHidden/>
    <w:unhideWhenUsed/>
    <w:rsid w:val="00825E35"/>
    <w:rPr>
      <w:color w:val="605E5C"/>
      <w:shd w:val="clear" w:color="auto" w:fill="E1DFDD"/>
    </w:rPr>
  </w:style>
  <w:style w:type="paragraph" w:styleId="BalloonText">
    <w:name w:val="Balloon Text"/>
    <w:basedOn w:val="Normal"/>
    <w:link w:val="BalloonTextChar"/>
    <w:uiPriority w:val="99"/>
    <w:semiHidden/>
    <w:unhideWhenUsed/>
    <w:rsid w:val="009A0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1E"/>
    <w:rPr>
      <w:rFonts w:ascii="Segoe UI" w:hAnsi="Segoe UI" w:cs="Segoe UI"/>
      <w:sz w:val="18"/>
      <w:szCs w:val="18"/>
    </w:rPr>
  </w:style>
  <w:style w:type="paragraph" w:customStyle="1" w:styleId="Default">
    <w:name w:val="Default"/>
    <w:rsid w:val="00884535"/>
    <w:pPr>
      <w:widowControl/>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aliases w:val="Bullets Char,Liste à puce - Normal Char,lp1 Char,References Char,List Bullet Mary Char,List Paragraph (numbered (a)) Char,Colorful List - Accent 11 Char,List Paragraph Char Char Char Char,Liste 1 Char,Medium Grid 1 - Accent 21 Char"/>
    <w:basedOn w:val="DefaultParagraphFont"/>
    <w:link w:val="ListParagraph"/>
    <w:uiPriority w:val="34"/>
    <w:rsid w:val="00504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fqdrc@iom.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butoto@iom.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muamba@iom.in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mdtraore@iom.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E826EF74DFC7498ED5655FE20107FF" ma:contentTypeVersion="4" ma:contentTypeDescription="Create a new document." ma:contentTypeScope="" ma:versionID="a756352502a338a2257fc1ea876bec3d">
  <xsd:schema xmlns:xsd="http://www.w3.org/2001/XMLSchema" xmlns:xs="http://www.w3.org/2001/XMLSchema" xmlns:p="http://schemas.microsoft.com/office/2006/metadata/properties" xmlns:ns2="8a52112f-c43c-4c96-b090-3c30fd7e5dfd" xmlns:ns3="205d8bf6-4fbf-42be-ace2-eee4fed139dc" targetNamespace="http://schemas.microsoft.com/office/2006/metadata/properties" ma:root="true" ma:fieldsID="0f1d02b9a92983c520f9d0ebb595e058" ns2:_="" ns3:_="">
    <xsd:import namespace="8a52112f-c43c-4c96-b090-3c30fd7e5dfd"/>
    <xsd:import namespace="205d8bf6-4fbf-42be-ace2-eee4fed13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2112f-c43c-4c96-b090-3c30fd7e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5d8bf6-4fbf-42be-ace2-eee4fed13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E2B11-0599-47B5-BAD4-504A3A72C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2112f-c43c-4c96-b090-3c30fd7e5dfd"/>
    <ds:schemaRef ds:uri="205d8bf6-4fbf-42be-ace2-eee4fed1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00E02F-93B8-42CD-84B7-BE6D691E8403}">
  <ds:schemaRefs>
    <ds:schemaRef ds:uri="http://schemas.microsoft.com/sharepoint/v3/contenttype/forms"/>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2896</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Sample Call for Expression of Interest Toolkit</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HANGI Angel</cp:lastModifiedBy>
  <cp:revision>2</cp:revision>
  <dcterms:created xsi:type="dcterms:W3CDTF">2026-07-07T17:26:00Z</dcterms:created>
  <dcterms:modified xsi:type="dcterms:W3CDTF">2026-07-07T17:26:00Z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0x010100FCE826EF74DFC7498ED5655FE20107FF</vt:lpwstr>
  </property>
  <property fmtid="{D5CDD505-2E9C-101B-9397-08002B2CF9AE}" pid="12" name="Order">
    <vt:r8>23100</vt:r8>
  </property>
  <property fmtid="{D5CDD505-2E9C-101B-9397-08002B2CF9AE}" pid="13" name="xd_Signature">
    <vt:bool>false</vt:bool>
  </property>
  <property fmtid="{D5CDD505-2E9C-101B-9397-08002B2CF9AE}" pid="14" name="xd_ProgID">
    <vt:lpwstr/>
  </property>
  <property fmtid="{D5CDD505-2E9C-101B-9397-08002B2CF9AE}" pid="15" name="_ExtendedDescription">
    <vt:lpwstr/>
  </property>
  <property fmtid="{D5CDD505-2E9C-101B-9397-08002B2CF9AE}" pid="16" name="TriggerFlowInfo">
    <vt:lpwstr/>
  </property>
  <property fmtid="{D5CDD505-2E9C-101B-9397-08002B2CF9AE}" pid="17" name="ComplianceAssetId">
    <vt:lpwstr/>
  </property>
  <property fmtid="{D5CDD505-2E9C-101B-9397-08002B2CF9AE}" pid="18" name="TemplateUrl">
    <vt:lpwstr/>
  </property>
</Properties>
</file>