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E7DF" w14:textId="77777777" w:rsidR="006F7169" w:rsidRPr="006F7169" w:rsidRDefault="006F7169" w:rsidP="005E103B">
      <w:pPr>
        <w:jc w:val="center"/>
        <w:rPr>
          <w:b/>
          <w:bCs/>
          <w:lang w:val="fr-FR"/>
        </w:rPr>
      </w:pPr>
      <w:r w:rsidRPr="006F7169">
        <w:rPr>
          <w:b/>
          <w:bCs/>
          <w:lang w:val="fr-FR"/>
        </w:rPr>
        <w:t>TERMES DE RÉFÉRENCE (TDR)</w:t>
      </w:r>
    </w:p>
    <w:p w14:paraId="400EFF26" w14:textId="016D5CA6" w:rsidR="006F7169" w:rsidRPr="006F7169" w:rsidRDefault="006F7169" w:rsidP="005E103B">
      <w:pPr>
        <w:jc w:val="center"/>
        <w:rPr>
          <w:b/>
          <w:bCs/>
          <w:lang w:val="fr-FR"/>
        </w:rPr>
      </w:pPr>
      <w:r w:rsidRPr="006F7169">
        <w:rPr>
          <w:b/>
          <w:bCs/>
          <w:lang w:val="fr-FR"/>
        </w:rPr>
        <w:t>Invitation à Soumissionner (ITB)</w:t>
      </w:r>
      <w:r w:rsidR="00CB4D12">
        <w:rPr>
          <w:b/>
          <w:bCs/>
          <w:lang w:val="fr-FR"/>
        </w:rPr>
        <w:t xml:space="preserve"> - </w:t>
      </w:r>
      <w:r w:rsidR="00CB4D12" w:rsidRPr="00CB4D12">
        <w:rPr>
          <w:b/>
          <w:bCs/>
          <w:lang w:val="fr-FR"/>
        </w:rPr>
        <w:t>30000021623</w:t>
      </w:r>
    </w:p>
    <w:p w14:paraId="1A5F23EF" w14:textId="45CDC1DA" w:rsidR="006F7169" w:rsidRPr="006F7169" w:rsidRDefault="006F7169" w:rsidP="005E103B">
      <w:pPr>
        <w:jc w:val="both"/>
        <w:rPr>
          <w:b/>
          <w:bCs/>
          <w:lang w:val="fr-FR"/>
        </w:rPr>
      </w:pPr>
      <w:r w:rsidRPr="006F7169">
        <w:rPr>
          <w:b/>
          <w:bCs/>
          <w:lang w:val="fr-FR"/>
        </w:rPr>
        <w:t>Établissement d’Accords à Long Terme (LTA) pour les Articles Non Alimentaires (NFI)</w:t>
      </w:r>
    </w:p>
    <w:p w14:paraId="4EF23F92" w14:textId="77777777" w:rsidR="006F7169" w:rsidRPr="006F7169" w:rsidRDefault="009875A7" w:rsidP="005E103B">
      <w:pPr>
        <w:jc w:val="both"/>
      </w:pPr>
      <w:r>
        <w:pict w14:anchorId="60220B08">
          <v:rect id="_x0000_i1026" style="width:0;height:1.5pt" o:hralign="center" o:hrstd="t" o:hr="t" fillcolor="#a0a0a0" stroked="f"/>
        </w:pict>
      </w:r>
    </w:p>
    <w:p w14:paraId="3E7DA346" w14:textId="77777777" w:rsidR="006F7169" w:rsidRPr="006F7169" w:rsidRDefault="006F7169" w:rsidP="005E103B">
      <w:pPr>
        <w:jc w:val="both"/>
        <w:rPr>
          <w:b/>
          <w:bCs/>
          <w:lang w:val="fr-FR"/>
        </w:rPr>
      </w:pPr>
      <w:r w:rsidRPr="006F7169">
        <w:rPr>
          <w:b/>
          <w:bCs/>
          <w:lang w:val="fr-FR"/>
        </w:rPr>
        <w:t>1. Contexte</w:t>
      </w:r>
    </w:p>
    <w:p w14:paraId="74ED8919" w14:textId="20DB7B8D" w:rsidR="006F7169" w:rsidRPr="006F7169" w:rsidRDefault="006F7169" w:rsidP="005E103B">
      <w:pPr>
        <w:jc w:val="both"/>
        <w:rPr>
          <w:lang w:val="fr-FR"/>
        </w:rPr>
      </w:pPr>
      <w:r w:rsidRPr="006F7169">
        <w:rPr>
          <w:lang w:val="fr-FR"/>
        </w:rPr>
        <w:t>L’</w:t>
      </w:r>
      <w:r w:rsidRPr="006F7169">
        <w:rPr>
          <w:b/>
          <w:bCs/>
          <w:lang w:val="fr-FR"/>
        </w:rPr>
        <w:t>Organisation Internationale pour les Migrations (OIM)</w:t>
      </w:r>
      <w:r w:rsidRPr="006F7169">
        <w:rPr>
          <w:lang w:val="fr-FR"/>
        </w:rPr>
        <w:t xml:space="preserve"> se prépare à la mise en œuvre rapide d’activités d’assistance humanitaire nécessitant l’approvisionnement ponctuel en </w:t>
      </w:r>
      <w:r w:rsidRPr="006F7169">
        <w:rPr>
          <w:b/>
          <w:bCs/>
          <w:lang w:val="fr-FR"/>
        </w:rPr>
        <w:t>articles non alimentaires (NFI)</w:t>
      </w:r>
      <w:r w:rsidRPr="006F7169">
        <w:rPr>
          <w:lang w:val="fr-FR"/>
        </w:rPr>
        <w:t>.</w:t>
      </w:r>
    </w:p>
    <w:p w14:paraId="57B167A9" w14:textId="373B37AE" w:rsidR="006F7169" w:rsidRPr="006F7169" w:rsidRDefault="006F7169" w:rsidP="005E103B">
      <w:pPr>
        <w:jc w:val="both"/>
        <w:rPr>
          <w:lang w:val="fr-FR"/>
        </w:rPr>
      </w:pPr>
      <w:r w:rsidRPr="006F7169">
        <w:rPr>
          <w:lang w:val="fr-FR"/>
        </w:rPr>
        <w:t xml:space="preserve">Compte tenu du caractère d’urgence des opérations et de la nécessité d’une mobilisation rapide, l’OIM a l’intention d’établir un ou plusieurs </w:t>
      </w:r>
      <w:r w:rsidRPr="006F7169">
        <w:rPr>
          <w:b/>
          <w:bCs/>
          <w:lang w:val="fr-FR"/>
        </w:rPr>
        <w:t>Accords à Long Terme (LTA) non exclusifs</w:t>
      </w:r>
      <w:r w:rsidRPr="006F7169">
        <w:rPr>
          <w:lang w:val="fr-FR"/>
        </w:rPr>
        <w:t xml:space="preserve"> avec des fournisseurs qualifiés capables de livrer les articles requis dans des délais courts. Une attention particulière sera accordée aux fournisseurs s’approvisionnant sur les </w:t>
      </w:r>
      <w:r w:rsidRPr="006F7169">
        <w:rPr>
          <w:b/>
          <w:bCs/>
          <w:lang w:val="fr-FR"/>
        </w:rPr>
        <w:t xml:space="preserve">marchés locaux ou </w:t>
      </w:r>
      <w:r w:rsidR="2D827918" w:rsidRPr="5717FBC1">
        <w:rPr>
          <w:b/>
          <w:bCs/>
          <w:lang w:val="fr-FR"/>
        </w:rPr>
        <w:t xml:space="preserve">de </w:t>
      </w:r>
      <w:r w:rsidR="00B62F76" w:rsidRPr="3413B20E">
        <w:rPr>
          <w:b/>
          <w:bCs/>
          <w:lang w:val="fr-FR"/>
        </w:rPr>
        <w:t>l’Afrique</w:t>
      </w:r>
      <w:r w:rsidR="2D827918" w:rsidRPr="3413B20E">
        <w:rPr>
          <w:b/>
          <w:bCs/>
          <w:lang w:val="fr-FR"/>
        </w:rPr>
        <w:t xml:space="preserve"> central</w:t>
      </w:r>
      <w:r w:rsidR="66D70DE1" w:rsidRPr="51F95E78">
        <w:rPr>
          <w:b/>
          <w:bCs/>
          <w:lang w:val="fr-FR"/>
        </w:rPr>
        <w:t>/ Est</w:t>
      </w:r>
      <w:r w:rsidRPr="51F95E78">
        <w:rPr>
          <w:lang w:val="fr-FR"/>
        </w:rPr>
        <w:t>,</w:t>
      </w:r>
      <w:r w:rsidRPr="006F7169">
        <w:rPr>
          <w:lang w:val="fr-FR"/>
        </w:rPr>
        <w:t xml:space="preserve"> afin d’assurer rapidité, flexibilité et efficacité opérationnelle.</w:t>
      </w:r>
    </w:p>
    <w:p w14:paraId="4BE2A7AB" w14:textId="77777777" w:rsidR="006F7169" w:rsidRPr="006F7169" w:rsidRDefault="009875A7" w:rsidP="005E103B">
      <w:pPr>
        <w:jc w:val="both"/>
      </w:pPr>
      <w:r>
        <w:pict w14:anchorId="150E1231">
          <v:rect id="_x0000_i1027" style="width:0;height:1.5pt" o:hralign="center" o:hrstd="t" o:hr="t" fillcolor="#a0a0a0" stroked="f"/>
        </w:pict>
      </w:r>
    </w:p>
    <w:p w14:paraId="51472CD4" w14:textId="77777777" w:rsidR="006F7169" w:rsidRPr="006F7169" w:rsidRDefault="006F7169" w:rsidP="005E103B">
      <w:pPr>
        <w:jc w:val="both"/>
        <w:rPr>
          <w:b/>
          <w:bCs/>
          <w:lang w:val="fr-FR"/>
        </w:rPr>
      </w:pPr>
      <w:r w:rsidRPr="006F7169">
        <w:rPr>
          <w:b/>
          <w:bCs/>
          <w:lang w:val="fr-FR"/>
        </w:rPr>
        <w:t>2. Objectif de l’ITB</w:t>
      </w:r>
    </w:p>
    <w:p w14:paraId="328F9576" w14:textId="77777777" w:rsidR="006F7169" w:rsidRPr="006F7169" w:rsidRDefault="006F7169" w:rsidP="005E103B">
      <w:pPr>
        <w:jc w:val="both"/>
        <w:rPr>
          <w:lang w:val="fr-FR"/>
        </w:rPr>
      </w:pPr>
      <w:r w:rsidRPr="006F7169">
        <w:rPr>
          <w:lang w:val="fr-FR"/>
        </w:rPr>
        <w:t>Les objectifs de la présente Invitation à Soumissionner (ITB) sont les suivants :</w:t>
      </w:r>
    </w:p>
    <w:p w14:paraId="49659E8B" w14:textId="5A4157C4" w:rsidR="006F7169" w:rsidRPr="006F7169" w:rsidRDefault="006F7169" w:rsidP="005E103B">
      <w:pPr>
        <w:numPr>
          <w:ilvl w:val="0"/>
          <w:numId w:val="1"/>
        </w:numPr>
        <w:jc w:val="both"/>
        <w:rPr>
          <w:lang w:val="fr-FR"/>
        </w:rPr>
      </w:pPr>
      <w:r w:rsidRPr="006F7169">
        <w:rPr>
          <w:lang w:val="fr-FR"/>
        </w:rPr>
        <w:t xml:space="preserve">Établir un ou plusieurs </w:t>
      </w:r>
      <w:r w:rsidRPr="006F7169">
        <w:rPr>
          <w:b/>
          <w:bCs/>
          <w:lang w:val="fr-FR"/>
        </w:rPr>
        <w:t>Accords à Long Terme (LTA) non exclusifs</w:t>
      </w:r>
      <w:r w:rsidRPr="006F7169">
        <w:rPr>
          <w:lang w:val="fr-FR"/>
        </w:rPr>
        <w:t xml:space="preserve"> pour une durée </w:t>
      </w:r>
      <w:r w:rsidR="00533EB4" w:rsidRPr="006F7169">
        <w:rPr>
          <w:lang w:val="fr-FR"/>
        </w:rPr>
        <w:t>d’un</w:t>
      </w:r>
      <w:r w:rsidRPr="006F7169">
        <w:rPr>
          <w:b/>
          <w:bCs/>
          <w:lang w:val="fr-FR"/>
        </w:rPr>
        <w:t xml:space="preserve"> (1) an</w:t>
      </w:r>
    </w:p>
    <w:p w14:paraId="5A8009B2" w14:textId="77777777" w:rsidR="006F7169" w:rsidRPr="006F7169" w:rsidRDefault="006F7169" w:rsidP="005E103B">
      <w:pPr>
        <w:numPr>
          <w:ilvl w:val="0"/>
          <w:numId w:val="1"/>
        </w:numPr>
        <w:jc w:val="both"/>
        <w:rPr>
          <w:lang w:val="fr-FR"/>
        </w:rPr>
      </w:pPr>
      <w:r w:rsidRPr="006F7169">
        <w:rPr>
          <w:lang w:val="fr-FR"/>
        </w:rPr>
        <w:t xml:space="preserve">Garantir la </w:t>
      </w:r>
      <w:r w:rsidRPr="006F7169">
        <w:rPr>
          <w:b/>
          <w:bCs/>
          <w:lang w:val="fr-FR"/>
        </w:rPr>
        <w:t>disponibilité et la livraison rapides</w:t>
      </w:r>
      <w:r w:rsidRPr="006F7169">
        <w:rPr>
          <w:lang w:val="fr-FR"/>
        </w:rPr>
        <w:t xml:space="preserve"> des articles Abris et NFI</w:t>
      </w:r>
    </w:p>
    <w:p w14:paraId="7D00CB46" w14:textId="77777777" w:rsidR="006F7169" w:rsidRPr="006F7169" w:rsidRDefault="006F7169" w:rsidP="005E103B">
      <w:pPr>
        <w:numPr>
          <w:ilvl w:val="0"/>
          <w:numId w:val="1"/>
        </w:numPr>
        <w:jc w:val="both"/>
        <w:rPr>
          <w:lang w:val="fr-FR"/>
        </w:rPr>
      </w:pPr>
      <w:r w:rsidRPr="006F7169">
        <w:rPr>
          <w:lang w:val="fr-FR"/>
        </w:rPr>
        <w:t xml:space="preserve">Permettre à l’OIM d’émettre des </w:t>
      </w:r>
      <w:r w:rsidRPr="006F7169">
        <w:rPr>
          <w:b/>
          <w:bCs/>
          <w:lang w:val="fr-FR"/>
        </w:rPr>
        <w:t>Bons de Commande (Call-Off Purchase Orders)</w:t>
      </w:r>
      <w:r w:rsidRPr="006F7169">
        <w:rPr>
          <w:lang w:val="fr-FR"/>
        </w:rPr>
        <w:t xml:space="preserve"> dans le cadre du LTA en fonction des besoins opérationnels</w:t>
      </w:r>
    </w:p>
    <w:p w14:paraId="228345ED" w14:textId="112106EE" w:rsidR="006F7169" w:rsidRPr="006F7169" w:rsidRDefault="006F7169" w:rsidP="005E103B">
      <w:pPr>
        <w:numPr>
          <w:ilvl w:val="0"/>
          <w:numId w:val="1"/>
        </w:numPr>
        <w:jc w:val="both"/>
        <w:rPr>
          <w:lang w:val="fr-FR"/>
        </w:rPr>
      </w:pPr>
      <w:r w:rsidRPr="006F7169">
        <w:rPr>
          <w:lang w:val="fr-FR"/>
        </w:rPr>
        <w:t xml:space="preserve">Soutenir la mise en œuvre de projets nécessitant une livraison dans un délai maximum de </w:t>
      </w:r>
      <w:r w:rsidRPr="006F7169">
        <w:rPr>
          <w:b/>
          <w:bCs/>
          <w:lang w:val="fr-FR"/>
        </w:rPr>
        <w:t xml:space="preserve">deux (2) </w:t>
      </w:r>
      <w:r w:rsidR="00C51EB9">
        <w:rPr>
          <w:b/>
          <w:bCs/>
          <w:lang w:val="fr-FR"/>
        </w:rPr>
        <w:t>a cinq (5) semaines</w:t>
      </w:r>
      <w:r w:rsidRPr="006F7169">
        <w:rPr>
          <w:lang w:val="fr-FR"/>
        </w:rPr>
        <w:t xml:space="preserve"> à compter de l’émission du Bon de Commande</w:t>
      </w:r>
    </w:p>
    <w:p w14:paraId="211E5490" w14:textId="77777777" w:rsidR="006F7169" w:rsidRPr="006F7169" w:rsidRDefault="009875A7" w:rsidP="005E103B">
      <w:pPr>
        <w:jc w:val="both"/>
      </w:pPr>
      <w:r>
        <w:pict w14:anchorId="57DCA4EF">
          <v:rect id="_x0000_i1028" style="width:0;height:1.5pt" o:hralign="center" o:hrstd="t" o:hr="t" fillcolor="#a0a0a0" stroked="f"/>
        </w:pict>
      </w:r>
    </w:p>
    <w:p w14:paraId="239EEC62" w14:textId="77777777" w:rsidR="006F7169" w:rsidRPr="006F7169" w:rsidRDefault="006F7169" w:rsidP="005E103B">
      <w:pPr>
        <w:jc w:val="both"/>
        <w:rPr>
          <w:b/>
          <w:bCs/>
          <w:lang w:val="fr-FR"/>
        </w:rPr>
      </w:pPr>
      <w:r w:rsidRPr="006F7169">
        <w:rPr>
          <w:b/>
          <w:bCs/>
          <w:lang w:val="fr-FR"/>
        </w:rPr>
        <w:t>3. Portée de la Fourniture</w:t>
      </w:r>
    </w:p>
    <w:p w14:paraId="22DF3DCD" w14:textId="011855E1" w:rsidR="006F7169" w:rsidRPr="006F7169" w:rsidRDefault="006F7169" w:rsidP="005E103B">
      <w:pPr>
        <w:jc w:val="both"/>
        <w:rPr>
          <w:lang w:val="fr-FR"/>
        </w:rPr>
      </w:pPr>
      <w:r w:rsidRPr="006F7169">
        <w:rPr>
          <w:lang w:val="fr-FR"/>
        </w:rPr>
        <w:t xml:space="preserve">La portée de fourniture dans le cadre du présent </w:t>
      </w:r>
      <w:r w:rsidRPr="006F7169">
        <w:rPr>
          <w:b/>
          <w:bCs/>
          <w:lang w:val="fr-FR"/>
        </w:rPr>
        <w:t>Accord à Long Terme (LTA)</w:t>
      </w:r>
      <w:r w:rsidRPr="006F7169">
        <w:rPr>
          <w:lang w:val="fr-FR"/>
        </w:rPr>
        <w:t xml:space="preserve"> couvre la fourniture </w:t>
      </w:r>
      <w:r w:rsidR="00C35E57">
        <w:rPr>
          <w:lang w:val="fr-FR"/>
        </w:rPr>
        <w:t>d</w:t>
      </w:r>
      <w:r w:rsidRPr="006F7169">
        <w:rPr>
          <w:lang w:val="fr-FR"/>
        </w:rPr>
        <w:t>’</w:t>
      </w:r>
      <w:r w:rsidRPr="006F7169">
        <w:rPr>
          <w:b/>
          <w:bCs/>
          <w:lang w:val="fr-FR"/>
        </w:rPr>
        <w:t>articles non alimentaires (NFI)</w:t>
      </w:r>
      <w:r w:rsidRPr="006F7169">
        <w:rPr>
          <w:lang w:val="fr-FR"/>
        </w:rPr>
        <w:t xml:space="preserve">, tels que détaillés dans les </w:t>
      </w:r>
      <w:r w:rsidRPr="006F7169">
        <w:rPr>
          <w:b/>
          <w:bCs/>
          <w:lang w:val="fr-FR"/>
        </w:rPr>
        <w:t>Spécifications Techniques</w:t>
      </w:r>
      <w:r w:rsidRPr="006F7169">
        <w:rPr>
          <w:lang w:val="fr-FR"/>
        </w:rPr>
        <w:t xml:space="preserve"> jointes en annexes à la présente ITB.</w:t>
      </w:r>
    </w:p>
    <w:p w14:paraId="69529EE9" w14:textId="77777777" w:rsidR="006F7169" w:rsidRPr="006F7169" w:rsidRDefault="006F7169" w:rsidP="005E103B">
      <w:pPr>
        <w:jc w:val="both"/>
        <w:rPr>
          <w:b/>
          <w:bCs/>
          <w:lang w:val="fr-FR"/>
        </w:rPr>
      </w:pPr>
      <w:r w:rsidRPr="006F7169">
        <w:rPr>
          <w:b/>
          <w:bCs/>
          <w:lang w:val="fr-FR"/>
        </w:rPr>
        <w:t>Clause de non-responsabilité relative aux images illustratives</w:t>
      </w:r>
    </w:p>
    <w:p w14:paraId="21A74EC0" w14:textId="77777777" w:rsidR="006F7169" w:rsidRPr="006F7169" w:rsidRDefault="006F7169" w:rsidP="005E103B">
      <w:pPr>
        <w:jc w:val="both"/>
        <w:rPr>
          <w:lang w:val="fr-FR"/>
        </w:rPr>
      </w:pPr>
      <w:r w:rsidRPr="006F7169">
        <w:rPr>
          <w:lang w:val="fr-FR"/>
        </w:rPr>
        <w:t xml:space="preserve">Les images incluses (le cas échéant) dans les spécifications techniques sont fournies </w:t>
      </w:r>
      <w:r w:rsidRPr="006F7169">
        <w:rPr>
          <w:b/>
          <w:bCs/>
          <w:lang w:val="fr-FR"/>
        </w:rPr>
        <w:t>à titre illustratif uniquement</w:t>
      </w:r>
      <w:r w:rsidRPr="006F7169">
        <w:rPr>
          <w:lang w:val="fr-FR"/>
        </w:rPr>
        <w:t xml:space="preserve"> et ne doivent pas être considérées comme des représentations exactes des articles requis.</w:t>
      </w:r>
    </w:p>
    <w:p w14:paraId="2A84EA20" w14:textId="77777777" w:rsidR="006F7169" w:rsidRPr="006F7169" w:rsidRDefault="006F7169" w:rsidP="005E103B">
      <w:pPr>
        <w:jc w:val="both"/>
        <w:rPr>
          <w:lang w:val="fr-FR"/>
        </w:rPr>
      </w:pPr>
      <w:r w:rsidRPr="006F7169">
        <w:rPr>
          <w:b/>
          <w:bCs/>
          <w:lang w:val="fr-FR"/>
        </w:rPr>
        <w:t>Note :</w:t>
      </w:r>
      <w:r w:rsidRPr="006F7169">
        <w:rPr>
          <w:lang w:val="fr-FR"/>
        </w:rPr>
        <w:br/>
        <w:t xml:space="preserve">Les spécifications techniques finales, les exigences d’emballage et les quantités seront définies dans les </w:t>
      </w:r>
      <w:r w:rsidRPr="006F7169">
        <w:rPr>
          <w:b/>
          <w:bCs/>
          <w:lang w:val="fr-FR"/>
        </w:rPr>
        <w:t>Bons de Commande (Call-Off Purchase Orders)</w:t>
      </w:r>
      <w:r w:rsidRPr="006F7169">
        <w:rPr>
          <w:lang w:val="fr-FR"/>
        </w:rPr>
        <w:t xml:space="preserve"> émis dans le cadre du LTA.</w:t>
      </w:r>
    </w:p>
    <w:p w14:paraId="4816A750" w14:textId="77777777" w:rsidR="006F7169" w:rsidRPr="006F7169" w:rsidRDefault="009875A7" w:rsidP="005E103B">
      <w:pPr>
        <w:jc w:val="both"/>
      </w:pPr>
      <w:r>
        <w:pict w14:anchorId="46B05B70">
          <v:rect id="_x0000_i1029" style="width:0;height:1.5pt" o:hralign="center" o:hrstd="t" o:hr="t" fillcolor="#a0a0a0" stroked="f"/>
        </w:pict>
      </w:r>
    </w:p>
    <w:p w14:paraId="281D922A" w14:textId="77777777" w:rsidR="006F7169" w:rsidRPr="006F7169" w:rsidRDefault="006F7169" w:rsidP="005E103B">
      <w:pPr>
        <w:jc w:val="both"/>
        <w:rPr>
          <w:b/>
          <w:bCs/>
          <w:lang w:val="fr-FR"/>
        </w:rPr>
      </w:pPr>
      <w:r w:rsidRPr="006F7169">
        <w:rPr>
          <w:b/>
          <w:bCs/>
          <w:lang w:val="fr-FR"/>
        </w:rPr>
        <w:t>4. Exigences de Livraison et Délais</w:t>
      </w:r>
    </w:p>
    <w:p w14:paraId="117D1087" w14:textId="77777777" w:rsidR="006F7169" w:rsidRPr="006F7169" w:rsidRDefault="006F7169" w:rsidP="005E103B">
      <w:pPr>
        <w:jc w:val="both"/>
        <w:rPr>
          <w:b/>
          <w:bCs/>
          <w:lang w:val="fr-FR"/>
        </w:rPr>
      </w:pPr>
      <w:r w:rsidRPr="006F7169">
        <w:rPr>
          <w:b/>
          <w:bCs/>
          <w:lang w:val="fr-FR"/>
        </w:rPr>
        <w:lastRenderedPageBreak/>
        <w:t>Délais de livraison</w:t>
      </w:r>
    </w:p>
    <w:p w14:paraId="05EFD886" w14:textId="316A1E3C" w:rsidR="006F7169" w:rsidRPr="006F7169" w:rsidRDefault="006F7169" w:rsidP="005E103B">
      <w:pPr>
        <w:numPr>
          <w:ilvl w:val="0"/>
          <w:numId w:val="2"/>
        </w:numPr>
        <w:jc w:val="both"/>
        <w:rPr>
          <w:lang w:val="fr-FR"/>
        </w:rPr>
      </w:pPr>
      <w:r w:rsidRPr="006F7169">
        <w:rPr>
          <w:b/>
          <w:bCs/>
          <w:lang w:val="fr-FR"/>
        </w:rPr>
        <w:t xml:space="preserve">Maximum : </w:t>
      </w:r>
      <w:r w:rsidR="00CB4D12">
        <w:rPr>
          <w:b/>
          <w:bCs/>
          <w:lang w:val="fr-FR"/>
        </w:rPr>
        <w:t xml:space="preserve">2 </w:t>
      </w:r>
      <w:r w:rsidR="00B21834">
        <w:rPr>
          <w:b/>
          <w:bCs/>
          <w:lang w:val="fr-FR"/>
        </w:rPr>
        <w:t>à</w:t>
      </w:r>
      <w:r w:rsidR="00CB4D12">
        <w:rPr>
          <w:b/>
          <w:bCs/>
          <w:lang w:val="fr-FR"/>
        </w:rPr>
        <w:t xml:space="preserve"> 5 semaines</w:t>
      </w:r>
      <w:r w:rsidRPr="006F7169">
        <w:rPr>
          <w:lang w:val="fr-FR"/>
        </w:rPr>
        <w:t xml:space="preserve"> à compter de la date d’émission du Bon de Commande</w:t>
      </w:r>
    </w:p>
    <w:p w14:paraId="5D52391C" w14:textId="77777777" w:rsidR="006F7169" w:rsidRPr="006F7169" w:rsidRDefault="006F7169" w:rsidP="005E103B">
      <w:pPr>
        <w:numPr>
          <w:ilvl w:val="0"/>
          <w:numId w:val="2"/>
        </w:numPr>
        <w:jc w:val="both"/>
        <w:rPr>
          <w:lang w:val="fr-FR"/>
        </w:rPr>
      </w:pPr>
      <w:r w:rsidRPr="006F7169">
        <w:rPr>
          <w:lang w:val="fr-FR"/>
        </w:rPr>
        <w:t xml:space="preserve">Les soumissionnaires doivent clairement indiquer les </w:t>
      </w:r>
      <w:r w:rsidRPr="006F7169">
        <w:rPr>
          <w:b/>
          <w:bCs/>
          <w:lang w:val="fr-FR"/>
        </w:rPr>
        <w:t>délais garantis de production et de livraison</w:t>
      </w:r>
    </w:p>
    <w:p w14:paraId="3665DC5C" w14:textId="77777777" w:rsidR="006F7169" w:rsidRPr="006F7169" w:rsidRDefault="006F7169" w:rsidP="005E103B">
      <w:pPr>
        <w:jc w:val="both"/>
        <w:rPr>
          <w:b/>
          <w:bCs/>
        </w:rPr>
      </w:pPr>
      <w:r w:rsidRPr="006F7169">
        <w:rPr>
          <w:b/>
          <w:bCs/>
        </w:rPr>
        <w:t xml:space="preserve">Critères de </w:t>
      </w:r>
      <w:proofErr w:type="spellStart"/>
      <w:r w:rsidRPr="006F7169">
        <w:rPr>
          <w:b/>
          <w:bCs/>
        </w:rPr>
        <w:t>préférence</w:t>
      </w:r>
      <w:proofErr w:type="spellEnd"/>
    </w:p>
    <w:p w14:paraId="7CC3928E" w14:textId="77777777" w:rsidR="006F7169" w:rsidRPr="006F7169" w:rsidRDefault="006F7169" w:rsidP="005E103B">
      <w:pPr>
        <w:numPr>
          <w:ilvl w:val="0"/>
          <w:numId w:val="3"/>
        </w:numPr>
        <w:jc w:val="both"/>
        <w:rPr>
          <w:lang w:val="fr-FR"/>
        </w:rPr>
      </w:pPr>
      <w:r w:rsidRPr="006F7169">
        <w:rPr>
          <w:lang w:val="fr-FR"/>
        </w:rPr>
        <w:t xml:space="preserve">Une préférence sera accordée aux fournisseurs capables de livrer dans des </w:t>
      </w:r>
      <w:r w:rsidRPr="006F7169">
        <w:rPr>
          <w:b/>
          <w:bCs/>
          <w:lang w:val="fr-FR"/>
        </w:rPr>
        <w:t>délais plus courts</w:t>
      </w:r>
    </w:p>
    <w:p w14:paraId="75DA4952" w14:textId="2747935C" w:rsidR="006F7169" w:rsidRPr="006F7169" w:rsidRDefault="006F7169" w:rsidP="005E103B">
      <w:pPr>
        <w:numPr>
          <w:ilvl w:val="0"/>
          <w:numId w:val="3"/>
        </w:numPr>
        <w:jc w:val="both"/>
        <w:rPr>
          <w:lang w:val="fr-FR"/>
        </w:rPr>
      </w:pPr>
      <w:r w:rsidRPr="006F7169">
        <w:rPr>
          <w:lang w:val="fr-FR"/>
        </w:rPr>
        <w:t xml:space="preserve">Les fournisseurs s’approvisionnant sur les </w:t>
      </w:r>
      <w:r w:rsidRPr="006F7169">
        <w:rPr>
          <w:b/>
          <w:bCs/>
          <w:lang w:val="fr-FR"/>
        </w:rPr>
        <w:t xml:space="preserve">marchés locaux ou </w:t>
      </w:r>
      <w:r w:rsidR="003B4336">
        <w:rPr>
          <w:b/>
          <w:bCs/>
          <w:lang w:val="fr-FR"/>
        </w:rPr>
        <w:t>de l’Afrique central et de l’Est</w:t>
      </w:r>
      <w:r w:rsidRPr="006F7169">
        <w:rPr>
          <w:lang w:val="fr-FR"/>
        </w:rPr>
        <w:t>, disposant de stocks disponibles ou d’une capacité de production rapide, seront priorisés</w:t>
      </w:r>
    </w:p>
    <w:p w14:paraId="523BB2D1" w14:textId="77777777" w:rsidR="006F7169" w:rsidRPr="006F7169" w:rsidRDefault="006F7169" w:rsidP="005E103B">
      <w:pPr>
        <w:jc w:val="both"/>
        <w:rPr>
          <w:b/>
          <w:bCs/>
        </w:rPr>
      </w:pPr>
      <w:r w:rsidRPr="006F7169">
        <w:rPr>
          <w:b/>
          <w:bCs/>
        </w:rPr>
        <w:t>Lieux de livraison</w:t>
      </w:r>
    </w:p>
    <w:p w14:paraId="5747E8A5" w14:textId="77777777" w:rsidR="006F7169" w:rsidRPr="006F7169" w:rsidRDefault="006F7169" w:rsidP="005E103B">
      <w:pPr>
        <w:numPr>
          <w:ilvl w:val="0"/>
          <w:numId w:val="4"/>
        </w:numPr>
        <w:jc w:val="both"/>
        <w:rPr>
          <w:lang w:val="fr-FR"/>
        </w:rPr>
      </w:pPr>
      <w:r w:rsidRPr="006F7169">
        <w:rPr>
          <w:lang w:val="fr-FR"/>
        </w:rPr>
        <w:t>Tels que spécifiés dans chaque Bon de Commande (entrepôt central et/ou sites terrain)</w:t>
      </w:r>
    </w:p>
    <w:p w14:paraId="7CB4F148" w14:textId="77777777" w:rsidR="006F7169" w:rsidRPr="006F7169" w:rsidRDefault="009875A7" w:rsidP="005E103B">
      <w:pPr>
        <w:jc w:val="both"/>
      </w:pPr>
      <w:r>
        <w:pict w14:anchorId="76B09FC4">
          <v:rect id="_x0000_i1030" style="width:0;height:1.5pt" o:hralign="center" o:hrstd="t" o:hr="t" fillcolor="#a0a0a0" stroked="f"/>
        </w:pict>
      </w:r>
    </w:p>
    <w:p w14:paraId="44995436" w14:textId="246CA898" w:rsidR="006F7169" w:rsidRPr="006F7169" w:rsidRDefault="006F7169" w:rsidP="005E103B">
      <w:pPr>
        <w:jc w:val="both"/>
        <w:rPr>
          <w:b/>
          <w:bCs/>
          <w:lang w:val="fr-FR"/>
        </w:rPr>
      </w:pPr>
      <w:r w:rsidRPr="006F7169">
        <w:rPr>
          <w:b/>
          <w:bCs/>
          <w:lang w:val="fr-FR"/>
        </w:rPr>
        <w:t>5. Préférence pour les Marchés Locaux et Régionaux</w:t>
      </w:r>
      <w:r w:rsidR="003B4336">
        <w:rPr>
          <w:b/>
          <w:bCs/>
          <w:lang w:val="fr-FR"/>
        </w:rPr>
        <w:t xml:space="preserve"> (Afrique central et de l’Est)</w:t>
      </w:r>
    </w:p>
    <w:p w14:paraId="49407B9A" w14:textId="77777777" w:rsidR="006F7169" w:rsidRPr="006F7169" w:rsidRDefault="006F7169" w:rsidP="005E103B">
      <w:pPr>
        <w:jc w:val="both"/>
        <w:rPr>
          <w:lang w:val="fr-FR"/>
        </w:rPr>
      </w:pPr>
      <w:r w:rsidRPr="006F7169">
        <w:rPr>
          <w:lang w:val="fr-FR"/>
        </w:rPr>
        <w:t>Afin de soutenir une réponse rapide et la continuité opérationnelle :</w:t>
      </w:r>
    </w:p>
    <w:p w14:paraId="49D29092" w14:textId="77777777" w:rsidR="006F7169" w:rsidRPr="006F7169" w:rsidRDefault="006F7169" w:rsidP="005E103B">
      <w:pPr>
        <w:numPr>
          <w:ilvl w:val="0"/>
          <w:numId w:val="5"/>
        </w:numPr>
        <w:jc w:val="both"/>
        <w:rPr>
          <w:lang w:val="fr-FR"/>
        </w:rPr>
      </w:pPr>
      <w:r w:rsidRPr="006F7169">
        <w:rPr>
          <w:lang w:val="fr-FR"/>
        </w:rPr>
        <w:t xml:space="preserve">Les fournisseurs s’approvisionnant sur les </w:t>
      </w:r>
      <w:r w:rsidRPr="006F7169">
        <w:rPr>
          <w:b/>
          <w:bCs/>
          <w:lang w:val="fr-FR"/>
        </w:rPr>
        <w:t>marchés locaux ou des pays voisins</w:t>
      </w:r>
      <w:r w:rsidRPr="006F7169">
        <w:rPr>
          <w:lang w:val="fr-FR"/>
        </w:rPr>
        <w:t xml:space="preserve"> sont fortement encouragés</w:t>
      </w:r>
    </w:p>
    <w:p w14:paraId="2E0111C6" w14:textId="77777777" w:rsidR="006F7169" w:rsidRPr="006F7169" w:rsidRDefault="006F7169" w:rsidP="005E103B">
      <w:pPr>
        <w:numPr>
          <w:ilvl w:val="0"/>
          <w:numId w:val="5"/>
        </w:numPr>
        <w:jc w:val="both"/>
        <w:rPr>
          <w:lang w:val="fr-FR"/>
        </w:rPr>
      </w:pPr>
      <w:r w:rsidRPr="006F7169">
        <w:rPr>
          <w:lang w:val="fr-FR"/>
        </w:rPr>
        <w:t xml:space="preserve">Les soumissionnaires pourront être tenus de démontrer : </w:t>
      </w:r>
    </w:p>
    <w:p w14:paraId="7A139F82" w14:textId="77777777" w:rsidR="006F7169" w:rsidRPr="006F7169" w:rsidRDefault="006F7169" w:rsidP="005E103B">
      <w:pPr>
        <w:numPr>
          <w:ilvl w:val="1"/>
          <w:numId w:val="5"/>
        </w:numPr>
        <w:spacing w:after="0"/>
        <w:jc w:val="both"/>
        <w:rPr>
          <w:lang w:val="fr-FR"/>
        </w:rPr>
      </w:pPr>
      <w:r w:rsidRPr="006F7169">
        <w:rPr>
          <w:lang w:val="fr-FR"/>
        </w:rPr>
        <w:t>Une capacité de production locale, ou</w:t>
      </w:r>
    </w:p>
    <w:p w14:paraId="5DDB4279" w14:textId="77777777" w:rsidR="006F7169" w:rsidRPr="006F7169" w:rsidRDefault="006F7169" w:rsidP="005E103B">
      <w:pPr>
        <w:numPr>
          <w:ilvl w:val="1"/>
          <w:numId w:val="5"/>
        </w:numPr>
        <w:spacing w:after="0"/>
        <w:jc w:val="both"/>
        <w:rPr>
          <w:lang w:val="fr-FR"/>
        </w:rPr>
      </w:pPr>
      <w:r w:rsidRPr="006F7169">
        <w:rPr>
          <w:lang w:val="fr-FR"/>
        </w:rPr>
        <w:t>La disponibilité de stocks existants, ou</w:t>
      </w:r>
    </w:p>
    <w:p w14:paraId="3F920CB9" w14:textId="77777777" w:rsidR="006F7169" w:rsidRPr="006F7169" w:rsidRDefault="006F7169" w:rsidP="005E103B">
      <w:pPr>
        <w:numPr>
          <w:ilvl w:val="1"/>
          <w:numId w:val="5"/>
        </w:numPr>
        <w:spacing w:after="0"/>
        <w:jc w:val="both"/>
        <w:rPr>
          <w:lang w:val="fr-FR"/>
        </w:rPr>
      </w:pPr>
      <w:r w:rsidRPr="006F7169">
        <w:rPr>
          <w:lang w:val="fr-FR"/>
        </w:rPr>
        <w:t>Des arrangements logistiques et d’entreposage régionaux</w:t>
      </w:r>
    </w:p>
    <w:p w14:paraId="60FEFD35" w14:textId="77777777" w:rsidR="006F7169" w:rsidRPr="006F7169" w:rsidRDefault="009875A7" w:rsidP="005E103B">
      <w:pPr>
        <w:jc w:val="both"/>
      </w:pPr>
      <w:r>
        <w:pict w14:anchorId="70EE185D">
          <v:rect id="_x0000_i1031" style="width:0;height:1.5pt" o:hralign="center" o:hrstd="t" o:hr="t" fillcolor="#a0a0a0" stroked="f"/>
        </w:pict>
      </w:r>
    </w:p>
    <w:p w14:paraId="3144B897" w14:textId="77777777" w:rsidR="006F7169" w:rsidRPr="006F7169" w:rsidRDefault="006F7169" w:rsidP="005E103B">
      <w:pPr>
        <w:jc w:val="both"/>
        <w:rPr>
          <w:b/>
          <w:bCs/>
          <w:lang w:val="fr-FR"/>
        </w:rPr>
      </w:pPr>
      <w:r w:rsidRPr="006F7169">
        <w:rPr>
          <w:b/>
          <w:bCs/>
          <w:lang w:val="fr-FR"/>
        </w:rPr>
        <w:t>6. Durée de l’Accord à Long Terme</w:t>
      </w:r>
    </w:p>
    <w:p w14:paraId="346A46A2" w14:textId="1C041BA5" w:rsidR="006F7169" w:rsidRPr="006F7169" w:rsidRDefault="006F7169" w:rsidP="005E103B">
      <w:pPr>
        <w:numPr>
          <w:ilvl w:val="0"/>
          <w:numId w:val="6"/>
        </w:numPr>
        <w:jc w:val="both"/>
      </w:pPr>
      <w:r w:rsidRPr="006F7169">
        <w:rPr>
          <w:b/>
          <w:bCs/>
        </w:rPr>
        <w:t xml:space="preserve">Durée </w:t>
      </w:r>
      <w:r w:rsidR="00EB4E7E" w:rsidRPr="006F7169">
        <w:rPr>
          <w:b/>
          <w:bCs/>
        </w:rPr>
        <w:t>initiale:</w:t>
      </w:r>
      <w:r w:rsidRPr="006F7169">
        <w:t xml:space="preserve"> un (1) an</w:t>
      </w:r>
    </w:p>
    <w:p w14:paraId="6C247D28" w14:textId="77777777" w:rsidR="006F7169" w:rsidRPr="006F7169" w:rsidRDefault="006F7169" w:rsidP="005E103B">
      <w:pPr>
        <w:numPr>
          <w:ilvl w:val="0"/>
          <w:numId w:val="6"/>
        </w:numPr>
        <w:jc w:val="both"/>
        <w:rPr>
          <w:lang w:val="fr-FR"/>
        </w:rPr>
      </w:pPr>
      <w:r w:rsidRPr="006F7169">
        <w:rPr>
          <w:b/>
          <w:bCs/>
          <w:lang w:val="fr-FR"/>
        </w:rPr>
        <w:t>Prolongation possible :</w:t>
      </w:r>
      <w:r w:rsidRPr="006F7169">
        <w:rPr>
          <w:lang w:val="fr-FR"/>
        </w:rPr>
        <w:t xml:space="preserve"> sous réserve de performances satisfaisantes, de la disponibilité des fonds et de la compétitivité des prix</w:t>
      </w:r>
    </w:p>
    <w:p w14:paraId="4EE24C3C" w14:textId="77777777" w:rsidR="006F7169" w:rsidRPr="006F7169" w:rsidRDefault="006F7169" w:rsidP="005E103B">
      <w:pPr>
        <w:numPr>
          <w:ilvl w:val="0"/>
          <w:numId w:val="6"/>
        </w:numPr>
        <w:jc w:val="both"/>
        <w:rPr>
          <w:lang w:val="fr-FR"/>
        </w:rPr>
      </w:pPr>
      <w:r w:rsidRPr="006F7169">
        <w:rPr>
          <w:lang w:val="fr-FR"/>
        </w:rPr>
        <w:t xml:space="preserve">Le LTA sera </w:t>
      </w:r>
      <w:r w:rsidRPr="006F7169">
        <w:rPr>
          <w:b/>
          <w:bCs/>
          <w:lang w:val="fr-FR"/>
        </w:rPr>
        <w:t>non exclusif</w:t>
      </w:r>
      <w:r w:rsidRPr="006F7169">
        <w:rPr>
          <w:lang w:val="fr-FR"/>
        </w:rPr>
        <w:t>, et l’OIM se réserve le droit d’établir des LTA avec plusieurs fournisseurs</w:t>
      </w:r>
    </w:p>
    <w:p w14:paraId="5A93786E" w14:textId="77777777" w:rsidR="006F7169" w:rsidRPr="006F7169" w:rsidRDefault="009875A7" w:rsidP="005E103B">
      <w:pPr>
        <w:jc w:val="both"/>
      </w:pPr>
      <w:r>
        <w:pict w14:anchorId="792992DB">
          <v:rect id="_x0000_i1032" style="width:0;height:1.5pt" o:hralign="center" o:hrstd="t" o:hr="t" fillcolor="#a0a0a0" stroked="f"/>
        </w:pict>
      </w:r>
    </w:p>
    <w:p w14:paraId="667FFD9C" w14:textId="77777777" w:rsidR="006F7169" w:rsidRPr="006F7169" w:rsidRDefault="006F7169" w:rsidP="005E103B">
      <w:pPr>
        <w:jc w:val="both"/>
        <w:rPr>
          <w:b/>
          <w:bCs/>
          <w:lang w:val="fr-FR"/>
        </w:rPr>
      </w:pPr>
      <w:r w:rsidRPr="006F7169">
        <w:rPr>
          <w:b/>
          <w:bCs/>
          <w:lang w:val="fr-FR"/>
        </w:rPr>
        <w:t>7. Quantités Estimatives</w:t>
      </w:r>
    </w:p>
    <w:p w14:paraId="573127DB" w14:textId="77777777" w:rsidR="006F7169" w:rsidRPr="006F7169" w:rsidRDefault="006F7169" w:rsidP="005E103B">
      <w:pPr>
        <w:jc w:val="both"/>
        <w:rPr>
          <w:lang w:val="fr-FR"/>
        </w:rPr>
      </w:pPr>
      <w:r w:rsidRPr="006F7169">
        <w:rPr>
          <w:lang w:val="fr-FR"/>
        </w:rPr>
        <w:t xml:space="preserve">Toutes les quantités indiquées sont </w:t>
      </w:r>
      <w:r w:rsidRPr="006F7169">
        <w:rPr>
          <w:b/>
          <w:bCs/>
          <w:lang w:val="fr-FR"/>
        </w:rPr>
        <w:t>indicatives et non contractuelles</w:t>
      </w:r>
      <w:r w:rsidRPr="006F7169">
        <w:rPr>
          <w:lang w:val="fr-FR"/>
        </w:rPr>
        <w:t>.</w:t>
      </w:r>
      <w:r w:rsidRPr="006F7169">
        <w:rPr>
          <w:lang w:val="fr-FR"/>
        </w:rPr>
        <w:br/>
        <w:t>Les quantités réelles dépendront des besoins opérationnels et des approbations de projets.</w:t>
      </w:r>
      <w:r w:rsidRPr="006F7169">
        <w:rPr>
          <w:lang w:val="fr-FR"/>
        </w:rPr>
        <w:br/>
      </w:r>
      <w:r w:rsidRPr="006F7169">
        <w:rPr>
          <w:b/>
          <w:bCs/>
          <w:lang w:val="fr-FR"/>
        </w:rPr>
        <w:t>Aucune quantité minimale d’achat n’est garantie</w:t>
      </w:r>
      <w:r w:rsidRPr="006F7169">
        <w:rPr>
          <w:lang w:val="fr-FR"/>
        </w:rPr>
        <w:t xml:space="preserve"> dans le cadre du LTA.</w:t>
      </w:r>
    </w:p>
    <w:p w14:paraId="13D2E2C4" w14:textId="77777777" w:rsidR="006F7169" w:rsidRDefault="009875A7" w:rsidP="005E103B">
      <w:pPr>
        <w:jc w:val="both"/>
      </w:pPr>
      <w:r>
        <w:pict w14:anchorId="4AF3CB20">
          <v:rect id="_x0000_i1033" style="width:0;height:1.5pt" o:hralign="center" o:hrstd="t" o:hr="t" fillcolor="#a0a0a0" stroked="f"/>
        </w:pict>
      </w:r>
    </w:p>
    <w:p w14:paraId="69612014" w14:textId="77777777" w:rsidR="003B4336" w:rsidRPr="006F7169" w:rsidRDefault="003B4336" w:rsidP="005E103B">
      <w:pPr>
        <w:jc w:val="both"/>
      </w:pPr>
    </w:p>
    <w:p w14:paraId="1C522364" w14:textId="77777777" w:rsidR="006F7169" w:rsidRPr="006F7169" w:rsidRDefault="006F7169" w:rsidP="005E103B">
      <w:pPr>
        <w:jc w:val="both"/>
        <w:rPr>
          <w:b/>
          <w:bCs/>
          <w:lang w:val="fr-FR"/>
        </w:rPr>
      </w:pPr>
      <w:r w:rsidRPr="006F7169">
        <w:rPr>
          <w:b/>
          <w:bCs/>
          <w:lang w:val="fr-FR"/>
        </w:rPr>
        <w:t>8. Éligibilité et Qualification des Soumissionnaires</w:t>
      </w:r>
    </w:p>
    <w:p w14:paraId="162470EC" w14:textId="77777777" w:rsidR="006F7169" w:rsidRPr="006F7169" w:rsidRDefault="006F7169" w:rsidP="005E103B">
      <w:pPr>
        <w:jc w:val="both"/>
        <w:rPr>
          <w:lang w:val="fr-FR"/>
        </w:rPr>
      </w:pPr>
      <w:r w:rsidRPr="006F7169">
        <w:rPr>
          <w:lang w:val="fr-FR"/>
        </w:rPr>
        <w:lastRenderedPageBreak/>
        <w:t>Les soumissionnaires doivent démontrer :</w:t>
      </w:r>
    </w:p>
    <w:p w14:paraId="0F0CCD0D" w14:textId="77777777" w:rsidR="006F7169" w:rsidRPr="006F7169" w:rsidRDefault="006F7169" w:rsidP="005E103B">
      <w:pPr>
        <w:numPr>
          <w:ilvl w:val="0"/>
          <w:numId w:val="7"/>
        </w:numPr>
        <w:spacing w:after="0" w:line="240" w:lineRule="auto"/>
        <w:jc w:val="both"/>
        <w:rPr>
          <w:lang w:val="fr-FR"/>
        </w:rPr>
      </w:pPr>
      <w:r w:rsidRPr="006F7169">
        <w:rPr>
          <w:lang w:val="fr-FR"/>
        </w:rPr>
        <w:t xml:space="preserve">Une </w:t>
      </w:r>
      <w:r w:rsidRPr="006F7169">
        <w:rPr>
          <w:b/>
          <w:bCs/>
          <w:lang w:val="fr-FR"/>
        </w:rPr>
        <w:t>immatriculation légale</w:t>
      </w:r>
      <w:r w:rsidRPr="006F7169">
        <w:rPr>
          <w:lang w:val="fr-FR"/>
        </w:rPr>
        <w:t xml:space="preserve"> et l’autorisation d’exercer</w:t>
      </w:r>
    </w:p>
    <w:p w14:paraId="792331DA" w14:textId="4E188325" w:rsidR="006F7169" w:rsidRPr="006F7169" w:rsidRDefault="006F7169" w:rsidP="005E103B">
      <w:pPr>
        <w:numPr>
          <w:ilvl w:val="0"/>
          <w:numId w:val="7"/>
        </w:numPr>
        <w:spacing w:after="0" w:line="240" w:lineRule="auto"/>
        <w:jc w:val="both"/>
        <w:rPr>
          <w:lang w:val="fr-FR"/>
        </w:rPr>
      </w:pPr>
      <w:r w:rsidRPr="006F7169">
        <w:rPr>
          <w:lang w:val="fr-FR"/>
        </w:rPr>
        <w:t xml:space="preserve">Une </w:t>
      </w:r>
      <w:r w:rsidRPr="006F7169">
        <w:rPr>
          <w:b/>
          <w:bCs/>
          <w:lang w:val="fr-FR"/>
        </w:rPr>
        <w:t>expérience avérée</w:t>
      </w:r>
      <w:r w:rsidRPr="006F7169">
        <w:rPr>
          <w:lang w:val="fr-FR"/>
        </w:rPr>
        <w:t xml:space="preserve"> dans la fourniture de kits NFI</w:t>
      </w:r>
    </w:p>
    <w:p w14:paraId="563C78FF" w14:textId="77777777" w:rsidR="006F7169" w:rsidRPr="006F7169" w:rsidRDefault="006F7169" w:rsidP="005E103B">
      <w:pPr>
        <w:numPr>
          <w:ilvl w:val="0"/>
          <w:numId w:val="7"/>
        </w:numPr>
        <w:spacing w:after="0" w:line="240" w:lineRule="auto"/>
        <w:jc w:val="both"/>
        <w:rPr>
          <w:lang w:val="fr-FR"/>
        </w:rPr>
      </w:pPr>
      <w:r w:rsidRPr="006F7169">
        <w:rPr>
          <w:lang w:val="fr-FR"/>
        </w:rPr>
        <w:t xml:space="preserve">La capacité de livrer dans des </w:t>
      </w:r>
      <w:r w:rsidRPr="006F7169">
        <w:rPr>
          <w:b/>
          <w:bCs/>
          <w:lang w:val="fr-FR"/>
        </w:rPr>
        <w:t>délais courts</w:t>
      </w:r>
    </w:p>
    <w:p w14:paraId="68FAB1C4" w14:textId="77777777" w:rsidR="006F7169" w:rsidRPr="006F7169" w:rsidRDefault="006F7169" w:rsidP="005E103B">
      <w:pPr>
        <w:numPr>
          <w:ilvl w:val="0"/>
          <w:numId w:val="7"/>
        </w:numPr>
        <w:spacing w:after="0" w:line="240" w:lineRule="auto"/>
        <w:jc w:val="both"/>
        <w:rPr>
          <w:lang w:val="fr-FR"/>
        </w:rPr>
      </w:pPr>
      <w:r w:rsidRPr="006F7169">
        <w:rPr>
          <w:lang w:val="fr-FR"/>
        </w:rPr>
        <w:t xml:space="preserve">Une capacité </w:t>
      </w:r>
      <w:r w:rsidRPr="006F7169">
        <w:rPr>
          <w:b/>
          <w:bCs/>
          <w:lang w:val="fr-FR"/>
        </w:rPr>
        <w:t>logistique et financière adéquate</w:t>
      </w:r>
    </w:p>
    <w:p w14:paraId="748291F4" w14:textId="77777777" w:rsidR="006F7169" w:rsidRPr="006F7169" w:rsidRDefault="006F7169" w:rsidP="005E103B">
      <w:pPr>
        <w:numPr>
          <w:ilvl w:val="0"/>
          <w:numId w:val="7"/>
        </w:numPr>
        <w:spacing w:after="0" w:line="240" w:lineRule="auto"/>
        <w:jc w:val="both"/>
        <w:rPr>
          <w:lang w:val="fr-FR"/>
        </w:rPr>
      </w:pPr>
      <w:r w:rsidRPr="006F7169">
        <w:rPr>
          <w:lang w:val="fr-FR"/>
        </w:rPr>
        <w:t>Une expérience de fourniture à des organisations humanitaires, agences des Nations Unies, ONG ou entités gouvernementales</w:t>
      </w:r>
    </w:p>
    <w:p w14:paraId="5026311B" w14:textId="77777777" w:rsidR="006F7169" w:rsidRPr="006F7169" w:rsidRDefault="006F7169" w:rsidP="005E103B">
      <w:pPr>
        <w:numPr>
          <w:ilvl w:val="0"/>
          <w:numId w:val="7"/>
        </w:numPr>
        <w:spacing w:after="0" w:line="240" w:lineRule="auto"/>
        <w:jc w:val="both"/>
        <w:rPr>
          <w:lang w:val="fr-FR"/>
        </w:rPr>
      </w:pPr>
      <w:r w:rsidRPr="006F7169">
        <w:rPr>
          <w:lang w:val="fr-FR"/>
        </w:rPr>
        <w:t xml:space="preserve">La conformité aux </w:t>
      </w:r>
      <w:r w:rsidRPr="006F7169">
        <w:rPr>
          <w:b/>
          <w:bCs/>
          <w:lang w:val="fr-FR"/>
        </w:rPr>
        <w:t>normes d’approvisionnement, éthiques et de qualité de l’OIM</w:t>
      </w:r>
    </w:p>
    <w:p w14:paraId="5FF70162" w14:textId="77777777" w:rsidR="005E103B" w:rsidRDefault="005E103B" w:rsidP="005E103B">
      <w:pPr>
        <w:jc w:val="both"/>
        <w:rPr>
          <w:b/>
          <w:bCs/>
          <w:lang w:val="fr-FR"/>
        </w:rPr>
      </w:pPr>
    </w:p>
    <w:p w14:paraId="6436AF33" w14:textId="77777777" w:rsidR="006F7169" w:rsidRPr="006F7169" w:rsidRDefault="006F7169" w:rsidP="005E103B">
      <w:pPr>
        <w:jc w:val="both"/>
        <w:rPr>
          <w:b/>
          <w:bCs/>
          <w:lang w:val="fr-FR"/>
        </w:rPr>
      </w:pPr>
      <w:r w:rsidRPr="006F7169">
        <w:rPr>
          <w:b/>
          <w:bCs/>
          <w:lang w:val="fr-FR"/>
        </w:rPr>
        <w:t>Exigences de Sécurité &amp; FDS (MSDS)</w:t>
      </w:r>
    </w:p>
    <w:p w14:paraId="20EC21EE" w14:textId="77777777" w:rsidR="006F7169" w:rsidRPr="006F7169" w:rsidRDefault="006F7169" w:rsidP="005E103B">
      <w:pPr>
        <w:jc w:val="both"/>
        <w:rPr>
          <w:lang w:val="fr-FR"/>
        </w:rPr>
      </w:pPr>
      <w:r w:rsidRPr="006F7169">
        <w:rPr>
          <w:lang w:val="fr-FR"/>
        </w:rPr>
        <w:t xml:space="preserve">Pour les produits chimiques ou dangereux, les soumissionnaires devront fournir les </w:t>
      </w:r>
      <w:r w:rsidRPr="006F7169">
        <w:rPr>
          <w:b/>
          <w:bCs/>
          <w:lang w:val="fr-FR"/>
        </w:rPr>
        <w:t>Fiches de Données de Sécurité (FDS / MSDS)</w:t>
      </w:r>
      <w:r w:rsidRPr="006F7169">
        <w:rPr>
          <w:lang w:val="fr-FR"/>
        </w:rPr>
        <w:t xml:space="preserve"> et confirmer la conformité aux réglementations applicables en matière de sécurité, de manutention et de transport.</w:t>
      </w:r>
    </w:p>
    <w:p w14:paraId="1DDE583E" w14:textId="77777777" w:rsidR="006F7169" w:rsidRPr="006F7169" w:rsidRDefault="009875A7" w:rsidP="005E103B">
      <w:pPr>
        <w:jc w:val="both"/>
      </w:pPr>
      <w:r>
        <w:pict w14:anchorId="05C4764D">
          <v:rect id="_x0000_i1034" style="width:0;height:1.5pt" o:hralign="center" o:hrstd="t" o:hr="t" fillcolor="#a0a0a0" stroked="f"/>
        </w:pict>
      </w:r>
    </w:p>
    <w:p w14:paraId="75EBFF83" w14:textId="77777777" w:rsidR="006F7169" w:rsidRPr="006F7169" w:rsidRDefault="006F7169" w:rsidP="005E103B">
      <w:pPr>
        <w:jc w:val="both"/>
        <w:rPr>
          <w:b/>
          <w:bCs/>
          <w:lang w:val="fr-FR"/>
        </w:rPr>
      </w:pPr>
      <w:r w:rsidRPr="006F7169">
        <w:rPr>
          <w:b/>
          <w:bCs/>
          <w:lang w:val="fr-FR"/>
        </w:rPr>
        <w:t>9. Critères d’Évaluation Technique (Indicatifs)</w:t>
      </w:r>
    </w:p>
    <w:p w14:paraId="79B63F3F" w14:textId="77777777" w:rsidR="006F7169" w:rsidRPr="006F7169" w:rsidRDefault="006F7169" w:rsidP="005E103B">
      <w:pPr>
        <w:jc w:val="both"/>
        <w:rPr>
          <w:b/>
          <w:bCs/>
          <w:lang w:val="fr-FR"/>
        </w:rPr>
      </w:pPr>
      <w:r w:rsidRPr="006F7169">
        <w:rPr>
          <w:b/>
          <w:bCs/>
          <w:lang w:val="fr-FR"/>
        </w:rPr>
        <w:t>Exigences techniques minimales</w:t>
      </w:r>
    </w:p>
    <w:p w14:paraId="5FA53B10" w14:textId="77777777" w:rsidR="006F7169" w:rsidRPr="006F7169" w:rsidRDefault="006F7169" w:rsidP="005E103B">
      <w:pPr>
        <w:jc w:val="both"/>
        <w:rPr>
          <w:lang w:val="fr-FR"/>
        </w:rPr>
      </w:pPr>
      <w:r w:rsidRPr="006F7169">
        <w:rPr>
          <w:lang w:val="fr-FR"/>
        </w:rPr>
        <w:t xml:space="preserve">Toutes les dimensions, poids, épaisseurs et caractéristiques des matériaux indiqués dans les spécifications techniques constituent des </w:t>
      </w:r>
      <w:r w:rsidRPr="006F7169">
        <w:rPr>
          <w:b/>
          <w:bCs/>
          <w:lang w:val="fr-FR"/>
        </w:rPr>
        <w:t>exigences minimales</w:t>
      </w:r>
      <w:r w:rsidRPr="006F7169">
        <w:rPr>
          <w:lang w:val="fr-FR"/>
        </w:rPr>
        <w:t>, sauf indication contraire. Les produits offrant des performances équivalentes ou supérieures seront acceptés, sous réserve de conformité technique.</w:t>
      </w:r>
    </w:p>
    <w:p w14:paraId="60D7B34C" w14:textId="77777777" w:rsidR="006F7169" w:rsidRPr="006F7169" w:rsidRDefault="006F7169" w:rsidP="005E103B">
      <w:pPr>
        <w:jc w:val="both"/>
        <w:rPr>
          <w:b/>
          <w:bCs/>
          <w:lang w:val="fr-FR"/>
        </w:rPr>
      </w:pPr>
      <w:r w:rsidRPr="006F7169">
        <w:rPr>
          <w:b/>
          <w:bCs/>
          <w:lang w:val="fr-FR"/>
        </w:rPr>
        <w:t>La performance fonctionnelle prévaut</w:t>
      </w:r>
    </w:p>
    <w:p w14:paraId="4E064652" w14:textId="77777777" w:rsidR="006F7169" w:rsidRPr="006F7169" w:rsidRDefault="006F7169" w:rsidP="005E103B">
      <w:pPr>
        <w:jc w:val="both"/>
        <w:rPr>
          <w:lang w:val="fr-FR"/>
        </w:rPr>
      </w:pPr>
      <w:r w:rsidRPr="006F7169">
        <w:rPr>
          <w:lang w:val="fr-FR"/>
        </w:rPr>
        <w:t xml:space="preserve">L’évaluation technique sera basée sur la </w:t>
      </w:r>
      <w:r w:rsidRPr="006F7169">
        <w:rPr>
          <w:b/>
          <w:bCs/>
          <w:lang w:val="fr-FR"/>
        </w:rPr>
        <w:t>performance fonctionnelle</w:t>
      </w:r>
      <w:r w:rsidRPr="006F7169">
        <w:rPr>
          <w:lang w:val="fr-FR"/>
        </w:rPr>
        <w:t>, la durabilité, la sécurité et l’adéquation à l’usage humanitaire, plutôt que sur une stricte conformité rédactionnelle.</w:t>
      </w:r>
    </w:p>
    <w:p w14:paraId="61C49E37" w14:textId="009065B3" w:rsidR="006F7169" w:rsidRPr="006F7169" w:rsidRDefault="006F7169" w:rsidP="005E103B">
      <w:pPr>
        <w:jc w:val="both"/>
      </w:pPr>
      <w:r w:rsidRPr="006F7169">
        <w:t xml:space="preserve">L’évaluation prendra </w:t>
      </w:r>
      <w:proofErr w:type="spellStart"/>
      <w:r w:rsidRPr="006F7169">
        <w:t>en</w:t>
      </w:r>
      <w:proofErr w:type="spellEnd"/>
      <w:r w:rsidRPr="006F7169">
        <w:t xml:space="preserve"> </w:t>
      </w:r>
      <w:proofErr w:type="spellStart"/>
      <w:r w:rsidR="003B4336" w:rsidRPr="006F7169">
        <w:t>compte</w:t>
      </w:r>
      <w:proofErr w:type="spellEnd"/>
      <w:r w:rsidR="003B4336" w:rsidRPr="006F7169">
        <w:t>:</w:t>
      </w:r>
    </w:p>
    <w:p w14:paraId="4EF6896F" w14:textId="77777777" w:rsidR="006F7169" w:rsidRPr="006F7169" w:rsidRDefault="006F7169" w:rsidP="005E103B">
      <w:pPr>
        <w:numPr>
          <w:ilvl w:val="0"/>
          <w:numId w:val="8"/>
        </w:numPr>
        <w:spacing w:after="0" w:line="240" w:lineRule="auto"/>
        <w:jc w:val="both"/>
      </w:pPr>
      <w:r w:rsidRPr="006F7169">
        <w:t>La conformité aux spécifications techniques</w:t>
      </w:r>
    </w:p>
    <w:p w14:paraId="63033EEA" w14:textId="77777777" w:rsidR="006F7169" w:rsidRPr="006F7169" w:rsidRDefault="006F7169" w:rsidP="005E103B">
      <w:pPr>
        <w:numPr>
          <w:ilvl w:val="0"/>
          <w:numId w:val="8"/>
        </w:numPr>
        <w:spacing w:after="0" w:line="240" w:lineRule="auto"/>
        <w:jc w:val="both"/>
        <w:rPr>
          <w:lang w:val="fr-FR"/>
        </w:rPr>
      </w:pPr>
      <w:r w:rsidRPr="006F7169">
        <w:rPr>
          <w:lang w:val="fr-FR"/>
        </w:rPr>
        <w:t>La qualité et la durabilité des articles</w:t>
      </w:r>
    </w:p>
    <w:p w14:paraId="0E917DD0" w14:textId="77777777" w:rsidR="006F7169" w:rsidRPr="006F7169" w:rsidRDefault="006F7169" w:rsidP="005E103B">
      <w:pPr>
        <w:numPr>
          <w:ilvl w:val="0"/>
          <w:numId w:val="8"/>
        </w:numPr>
        <w:spacing w:after="0" w:line="240" w:lineRule="auto"/>
        <w:jc w:val="both"/>
        <w:rPr>
          <w:lang w:val="fr-FR"/>
        </w:rPr>
      </w:pPr>
      <w:r w:rsidRPr="006F7169">
        <w:rPr>
          <w:b/>
          <w:bCs/>
          <w:lang w:val="fr-FR"/>
        </w:rPr>
        <w:t>Le délai de livraison (critère clé)</w:t>
      </w:r>
    </w:p>
    <w:p w14:paraId="7E945021" w14:textId="77777777" w:rsidR="006F7169" w:rsidRPr="006F7169" w:rsidRDefault="006F7169" w:rsidP="005E103B">
      <w:pPr>
        <w:numPr>
          <w:ilvl w:val="0"/>
          <w:numId w:val="8"/>
        </w:numPr>
        <w:spacing w:after="0" w:line="240" w:lineRule="auto"/>
        <w:jc w:val="both"/>
        <w:rPr>
          <w:lang w:val="fr-FR"/>
        </w:rPr>
      </w:pPr>
      <w:r w:rsidRPr="006F7169">
        <w:rPr>
          <w:lang w:val="fr-FR"/>
        </w:rPr>
        <w:t>La capacité d’approvisionnement local ou régional</w:t>
      </w:r>
    </w:p>
    <w:p w14:paraId="1AD2EB57" w14:textId="77777777" w:rsidR="006F7169" w:rsidRPr="006F7169" w:rsidRDefault="006F7169" w:rsidP="005E103B">
      <w:pPr>
        <w:numPr>
          <w:ilvl w:val="0"/>
          <w:numId w:val="8"/>
        </w:numPr>
        <w:spacing w:after="0" w:line="240" w:lineRule="auto"/>
        <w:jc w:val="both"/>
      </w:pPr>
      <w:r w:rsidRPr="006F7169">
        <w:t>Les performances passées et références</w:t>
      </w:r>
    </w:p>
    <w:p w14:paraId="289B2B12" w14:textId="77777777" w:rsidR="006F7169" w:rsidRPr="006F7169" w:rsidRDefault="009875A7" w:rsidP="005E103B">
      <w:pPr>
        <w:jc w:val="both"/>
      </w:pPr>
      <w:r>
        <w:pict w14:anchorId="5CFB1C1F">
          <v:rect id="_x0000_i1035" style="width:0;height:1.5pt" o:hralign="center" o:hrstd="t" o:hr="t" fillcolor="#a0a0a0" stroked="f"/>
        </w:pict>
      </w:r>
    </w:p>
    <w:p w14:paraId="63D0096F" w14:textId="08FEF01D" w:rsidR="006F7169" w:rsidRPr="006F7169" w:rsidRDefault="006F7169" w:rsidP="005E103B">
      <w:pPr>
        <w:jc w:val="both"/>
        <w:rPr>
          <w:b/>
          <w:bCs/>
          <w:lang w:val="fr-FR"/>
        </w:rPr>
      </w:pPr>
      <w:r w:rsidRPr="006F7169">
        <w:rPr>
          <w:b/>
          <w:bCs/>
          <w:lang w:val="fr-FR"/>
        </w:rPr>
        <w:t xml:space="preserve">10. </w:t>
      </w:r>
      <w:r w:rsidR="00FE28B7" w:rsidRPr="00FE28B7">
        <w:rPr>
          <w:b/>
          <w:bCs/>
          <w:lang w:val="fr-FR"/>
        </w:rPr>
        <w:t>Quantités Estimées par Localité (Premiers 6 Mois)</w:t>
      </w:r>
    </w:p>
    <w:p w14:paraId="25D69209" w14:textId="77777777" w:rsidR="002B0CF5" w:rsidRPr="002B0CF5" w:rsidRDefault="002B0CF5" w:rsidP="002B0CF5">
      <w:pPr>
        <w:jc w:val="both"/>
        <w:rPr>
          <w:lang w:val="fr-FR"/>
        </w:rPr>
      </w:pPr>
      <w:r w:rsidRPr="002B0CF5">
        <w:rPr>
          <w:lang w:val="fr-FR"/>
        </w:rPr>
        <w:t>Les quantités ci-dessous représentent les besoins estimés pour les six (6) premiers mois de mise en œuvre. Elles sont fournies uniquement à des fins de planification et d’estimation des coûts, et ne constituent pas un engagement de la part de l’OIM.</w:t>
      </w:r>
    </w:p>
    <w:p w14:paraId="33AD2A61" w14:textId="77777777" w:rsidR="002B0CF5" w:rsidRPr="002B0CF5" w:rsidRDefault="002B0CF5" w:rsidP="002B0CF5">
      <w:pPr>
        <w:jc w:val="both"/>
        <w:rPr>
          <w:lang w:val="fr-FR"/>
        </w:rPr>
      </w:pPr>
      <w:r w:rsidRPr="002B0CF5">
        <w:rPr>
          <w:lang w:val="fr-FR"/>
        </w:rPr>
        <w:t>Les quantités finales seront confirmées à travers des Bons de Commande individuels, en fonction des besoins opérationnels.</w:t>
      </w:r>
    </w:p>
    <w:p w14:paraId="153F8D2E" w14:textId="5FA79D38" w:rsidR="002B0CF5" w:rsidRPr="002B0CF5" w:rsidRDefault="002B0CF5" w:rsidP="002B0CF5">
      <w:pPr>
        <w:jc w:val="both"/>
        <w:rPr>
          <w:lang w:val="fr-FR"/>
        </w:rPr>
      </w:pPr>
      <w:r w:rsidRPr="002B0CF5">
        <w:rPr>
          <w:lang w:val="fr-FR"/>
        </w:rPr>
        <w:t xml:space="preserve">Tous les articles commandés dans le cadre de ce LTA devront être livrés dans un délai maximum de deux (2) </w:t>
      </w:r>
      <w:r w:rsidR="00BF1377">
        <w:rPr>
          <w:lang w:val="fr-FR"/>
        </w:rPr>
        <w:t>a cinq (5) semaines</w:t>
      </w:r>
      <w:r w:rsidRPr="002B0CF5">
        <w:rPr>
          <w:lang w:val="fr-FR"/>
        </w:rPr>
        <w:t xml:space="preserve"> à compter de la date du Bon de Commande.</w:t>
      </w:r>
    </w:p>
    <w:p w14:paraId="5374FF6C" w14:textId="77777777" w:rsidR="003B4336" w:rsidRDefault="003B4336" w:rsidP="005E103B">
      <w:pPr>
        <w:jc w:val="both"/>
        <w:rPr>
          <w:lang w:val="fr-FR"/>
        </w:rPr>
      </w:pPr>
    </w:p>
    <w:p w14:paraId="5BDBE8C8" w14:textId="3B89AB3A" w:rsidR="003B4336" w:rsidRPr="00964D58" w:rsidRDefault="003B4336" w:rsidP="00964D58">
      <w:pPr>
        <w:jc w:val="both"/>
        <w:rPr>
          <w:b/>
          <w:bCs/>
          <w:u w:val="single"/>
          <w:lang w:val="fr-FR"/>
        </w:rPr>
      </w:pPr>
    </w:p>
    <w:p w14:paraId="7F7C065B" w14:textId="77777777" w:rsidR="003B4336" w:rsidRPr="002B0CF5" w:rsidRDefault="003B4336" w:rsidP="003B4336">
      <w:pPr>
        <w:jc w:val="both"/>
        <w:rPr>
          <w:i/>
          <w:iCs/>
          <w:lang w:val="fr-FR"/>
        </w:rPr>
      </w:pPr>
    </w:p>
    <w:p w14:paraId="75355213" w14:textId="77777777" w:rsidR="003B4336" w:rsidRPr="006F7169" w:rsidRDefault="003B4336" w:rsidP="003B4336">
      <w:pPr>
        <w:jc w:val="both"/>
        <w:rPr>
          <w:b/>
          <w:bCs/>
          <w:lang w:val="fr-FR"/>
        </w:rPr>
      </w:pPr>
      <w:r w:rsidRPr="006F7169">
        <w:rPr>
          <w:b/>
          <w:bCs/>
          <w:lang w:val="fr-FR"/>
        </w:rPr>
        <w:t>10.1 Tableau indicatif des prix par quantité</w:t>
      </w:r>
    </w:p>
    <w:tbl>
      <w:tblPr>
        <w:tblStyle w:val="TableGrid"/>
        <w:tblW w:w="0" w:type="auto"/>
        <w:tblInd w:w="135" w:type="dxa"/>
        <w:tblLook w:val="04A0" w:firstRow="1" w:lastRow="0" w:firstColumn="1" w:lastColumn="0" w:noHBand="0" w:noVBand="1"/>
      </w:tblPr>
      <w:tblGrid>
        <w:gridCol w:w="564"/>
        <w:gridCol w:w="2323"/>
        <w:gridCol w:w="1056"/>
        <w:gridCol w:w="1029"/>
        <w:gridCol w:w="1417"/>
        <w:gridCol w:w="1418"/>
      </w:tblGrid>
      <w:tr w:rsidR="007B6010" w14:paraId="23C57D78" w14:textId="77777777" w:rsidTr="003B4336">
        <w:trPr>
          <w:trHeight w:val="928"/>
        </w:trPr>
        <w:tc>
          <w:tcPr>
            <w:tcW w:w="564" w:type="dxa"/>
            <w:tcBorders>
              <w:top w:val="single" w:sz="8" w:space="0" w:color="auto"/>
              <w:left w:val="single" w:sz="8" w:space="0" w:color="auto"/>
              <w:bottom w:val="single" w:sz="8" w:space="0" w:color="auto"/>
              <w:right w:val="single" w:sz="8" w:space="0" w:color="auto"/>
            </w:tcBorders>
            <w:hideMark/>
          </w:tcPr>
          <w:p w14:paraId="18B86B5C" w14:textId="77777777" w:rsidR="007B6010" w:rsidRDefault="007B6010">
            <w:pPr>
              <w:jc w:val="both"/>
              <w:rPr>
                <w:rFonts w:cstheme="minorHAnsi"/>
              </w:rPr>
            </w:pPr>
            <w:r>
              <w:rPr>
                <w:rFonts w:cstheme="minorHAnsi"/>
                <w:b/>
                <w:bCs/>
              </w:rPr>
              <w:t>No.</w:t>
            </w:r>
          </w:p>
        </w:tc>
        <w:tc>
          <w:tcPr>
            <w:tcW w:w="2323" w:type="dxa"/>
            <w:tcBorders>
              <w:top w:val="single" w:sz="8" w:space="0" w:color="auto"/>
              <w:left w:val="single" w:sz="8" w:space="0" w:color="auto"/>
              <w:bottom w:val="single" w:sz="8" w:space="0" w:color="auto"/>
              <w:right w:val="single" w:sz="8" w:space="0" w:color="auto"/>
            </w:tcBorders>
            <w:hideMark/>
          </w:tcPr>
          <w:p w14:paraId="75FB784B" w14:textId="6AB7171B" w:rsidR="007B6010" w:rsidRDefault="007B6010">
            <w:pPr>
              <w:jc w:val="both"/>
              <w:rPr>
                <w:rFonts w:cstheme="minorHAnsi"/>
              </w:rPr>
            </w:pPr>
            <w:r>
              <w:rPr>
                <w:rFonts w:cstheme="minorHAnsi"/>
                <w:b/>
                <w:bCs/>
              </w:rPr>
              <w:t>Description</w:t>
            </w:r>
          </w:p>
        </w:tc>
        <w:tc>
          <w:tcPr>
            <w:tcW w:w="1056" w:type="dxa"/>
            <w:tcBorders>
              <w:top w:val="single" w:sz="8" w:space="0" w:color="auto"/>
              <w:left w:val="single" w:sz="8" w:space="0" w:color="auto"/>
              <w:bottom w:val="single" w:sz="8" w:space="0" w:color="auto"/>
              <w:right w:val="single" w:sz="8" w:space="0" w:color="auto"/>
            </w:tcBorders>
            <w:hideMark/>
          </w:tcPr>
          <w:p w14:paraId="4B42C736" w14:textId="39438740" w:rsidR="007B6010" w:rsidRPr="003169DE" w:rsidRDefault="007B6010">
            <w:pPr>
              <w:jc w:val="center"/>
              <w:rPr>
                <w:rFonts w:cstheme="minorHAnsi"/>
                <w:b/>
                <w:bCs/>
              </w:rPr>
            </w:pPr>
            <w:r w:rsidRPr="003169DE">
              <w:rPr>
                <w:rFonts w:cstheme="minorHAnsi"/>
                <w:b/>
                <w:bCs/>
              </w:rPr>
              <w:t>UOM</w:t>
            </w:r>
          </w:p>
        </w:tc>
        <w:tc>
          <w:tcPr>
            <w:tcW w:w="979" w:type="dxa"/>
            <w:tcBorders>
              <w:top w:val="single" w:sz="8" w:space="0" w:color="auto"/>
              <w:left w:val="single" w:sz="8" w:space="0" w:color="auto"/>
              <w:bottom w:val="single" w:sz="8" w:space="0" w:color="auto"/>
              <w:right w:val="single" w:sz="8" w:space="0" w:color="auto"/>
            </w:tcBorders>
            <w:hideMark/>
          </w:tcPr>
          <w:p w14:paraId="52A92236" w14:textId="388FC825" w:rsidR="007B6010" w:rsidRDefault="000D2D3A">
            <w:pPr>
              <w:jc w:val="center"/>
              <w:rPr>
                <w:rFonts w:cstheme="minorHAnsi"/>
                <w:b/>
                <w:bCs/>
              </w:rPr>
            </w:pPr>
            <w:r>
              <w:rPr>
                <w:rFonts w:cstheme="minorHAnsi"/>
                <w:b/>
                <w:bCs/>
              </w:rPr>
              <w:t>KALEMIE</w:t>
            </w:r>
          </w:p>
        </w:tc>
        <w:tc>
          <w:tcPr>
            <w:tcW w:w="1417" w:type="dxa"/>
            <w:tcBorders>
              <w:top w:val="single" w:sz="8" w:space="0" w:color="auto"/>
              <w:left w:val="single" w:sz="8" w:space="0" w:color="auto"/>
              <w:bottom w:val="single" w:sz="8" w:space="0" w:color="auto"/>
              <w:right w:val="single" w:sz="8" w:space="0" w:color="auto"/>
            </w:tcBorders>
          </w:tcPr>
          <w:p w14:paraId="30E4137D" w14:textId="77777777" w:rsidR="007B6010" w:rsidRDefault="007B6010">
            <w:pPr>
              <w:jc w:val="center"/>
              <w:rPr>
                <w:rFonts w:cstheme="minorHAnsi"/>
                <w:lang w:val="fr-FR"/>
              </w:rPr>
            </w:pPr>
            <w:r>
              <w:rPr>
                <w:rFonts w:cstheme="minorHAnsi"/>
                <w:b/>
                <w:bCs/>
              </w:rPr>
              <w:t>BUNIA</w:t>
            </w:r>
          </w:p>
          <w:p w14:paraId="38CC5FED" w14:textId="77777777" w:rsidR="007B6010" w:rsidRDefault="007B6010">
            <w:pPr>
              <w:jc w:val="center"/>
              <w:rPr>
                <w:rFonts w:cstheme="minorHAnsi"/>
                <w:b/>
                <w:bCs/>
              </w:rPr>
            </w:pPr>
          </w:p>
        </w:tc>
        <w:tc>
          <w:tcPr>
            <w:tcW w:w="1418" w:type="dxa"/>
            <w:tcBorders>
              <w:top w:val="single" w:sz="8" w:space="0" w:color="auto"/>
              <w:left w:val="single" w:sz="8" w:space="0" w:color="auto"/>
              <w:bottom w:val="single" w:sz="8" w:space="0" w:color="auto"/>
              <w:right w:val="single" w:sz="8" w:space="0" w:color="auto"/>
            </w:tcBorders>
          </w:tcPr>
          <w:p w14:paraId="05E50075" w14:textId="77B168AB" w:rsidR="007B6010" w:rsidRDefault="000D2D3A">
            <w:pPr>
              <w:jc w:val="center"/>
              <w:rPr>
                <w:rFonts w:cstheme="minorHAnsi"/>
                <w:b/>
                <w:bCs/>
              </w:rPr>
            </w:pPr>
            <w:r>
              <w:rPr>
                <w:rFonts w:cstheme="minorHAnsi"/>
                <w:b/>
                <w:bCs/>
              </w:rPr>
              <w:t>GOMA</w:t>
            </w:r>
          </w:p>
          <w:p w14:paraId="3D4F3C34" w14:textId="77777777" w:rsidR="007B6010" w:rsidRDefault="007B6010">
            <w:pPr>
              <w:jc w:val="center"/>
              <w:rPr>
                <w:rFonts w:cstheme="minorHAnsi"/>
                <w:b/>
                <w:bCs/>
              </w:rPr>
            </w:pPr>
          </w:p>
        </w:tc>
      </w:tr>
      <w:tr w:rsidR="007B6010" w14:paraId="08080BAA" w14:textId="77777777" w:rsidTr="003B4336">
        <w:trPr>
          <w:trHeight w:val="545"/>
        </w:trPr>
        <w:tc>
          <w:tcPr>
            <w:tcW w:w="564" w:type="dxa"/>
            <w:tcBorders>
              <w:top w:val="single" w:sz="8" w:space="0" w:color="auto"/>
              <w:left w:val="single" w:sz="8" w:space="0" w:color="auto"/>
              <w:bottom w:val="single" w:sz="8" w:space="0" w:color="auto"/>
              <w:right w:val="single" w:sz="8" w:space="0" w:color="auto"/>
            </w:tcBorders>
            <w:hideMark/>
          </w:tcPr>
          <w:p w14:paraId="6A6B319E" w14:textId="77777777" w:rsidR="007B6010" w:rsidRDefault="007B6010">
            <w:pPr>
              <w:jc w:val="both"/>
              <w:rPr>
                <w:rFonts w:cstheme="minorHAnsi"/>
                <w:lang w:val="fr-FR"/>
              </w:rPr>
            </w:pPr>
            <w:r>
              <w:rPr>
                <w:rFonts w:cstheme="minorHAnsi"/>
              </w:rPr>
              <w:t>1</w:t>
            </w:r>
          </w:p>
        </w:tc>
        <w:tc>
          <w:tcPr>
            <w:tcW w:w="2323" w:type="dxa"/>
            <w:tcBorders>
              <w:top w:val="single" w:sz="8" w:space="0" w:color="auto"/>
              <w:left w:val="single" w:sz="8" w:space="0" w:color="auto"/>
              <w:bottom w:val="single" w:sz="8" w:space="0" w:color="auto"/>
              <w:right w:val="single" w:sz="8" w:space="0" w:color="auto"/>
            </w:tcBorders>
            <w:vAlign w:val="bottom"/>
            <w:hideMark/>
          </w:tcPr>
          <w:p w14:paraId="2D5B701D" w14:textId="77777777" w:rsidR="007B6010" w:rsidRDefault="007B6010">
            <w:pPr>
              <w:jc w:val="both"/>
              <w:rPr>
                <w:rFonts w:cstheme="minorHAnsi"/>
              </w:rPr>
            </w:pPr>
            <w:proofErr w:type="spellStart"/>
            <w:r>
              <w:rPr>
                <w:rFonts w:eastAsia="Arial" w:cstheme="minorHAnsi"/>
                <w:color w:val="000000" w:themeColor="text1"/>
              </w:rPr>
              <w:t>Laundy</w:t>
            </w:r>
            <w:proofErr w:type="spellEnd"/>
            <w:r>
              <w:rPr>
                <w:rFonts w:eastAsia="Arial" w:cstheme="minorHAnsi"/>
                <w:color w:val="000000" w:themeColor="text1"/>
              </w:rPr>
              <w:t xml:space="preserve"> soap bar (750g)</w:t>
            </w:r>
          </w:p>
        </w:tc>
        <w:tc>
          <w:tcPr>
            <w:tcW w:w="1056" w:type="dxa"/>
            <w:tcBorders>
              <w:top w:val="single" w:sz="8" w:space="0" w:color="auto"/>
              <w:left w:val="single" w:sz="8" w:space="0" w:color="auto"/>
              <w:bottom w:val="single" w:sz="8" w:space="0" w:color="auto"/>
              <w:right w:val="single" w:sz="8" w:space="0" w:color="auto"/>
            </w:tcBorders>
            <w:hideMark/>
          </w:tcPr>
          <w:p w14:paraId="27E8C9B9" w14:textId="77777777" w:rsidR="007B6010" w:rsidRDefault="007B6010">
            <w:pPr>
              <w:jc w:val="both"/>
              <w:rPr>
                <w:rFonts w:cstheme="minorHAnsi"/>
              </w:rPr>
            </w:pPr>
            <w:r>
              <w:rPr>
                <w:rFonts w:cstheme="minorHAnsi"/>
              </w:rPr>
              <w:t>piece</w:t>
            </w:r>
          </w:p>
        </w:tc>
        <w:tc>
          <w:tcPr>
            <w:tcW w:w="979" w:type="dxa"/>
            <w:tcBorders>
              <w:top w:val="single" w:sz="8" w:space="0" w:color="auto"/>
              <w:left w:val="single" w:sz="8" w:space="0" w:color="auto"/>
              <w:bottom w:val="single" w:sz="8" w:space="0" w:color="auto"/>
              <w:right w:val="single" w:sz="8" w:space="0" w:color="auto"/>
            </w:tcBorders>
          </w:tcPr>
          <w:p w14:paraId="27F11439" w14:textId="77777777" w:rsidR="007B6010" w:rsidRDefault="007B6010">
            <w:pPr>
              <w:jc w:val="both"/>
              <w:rPr>
                <w:rFonts w:cstheme="minorHAnsi"/>
              </w:rPr>
            </w:pPr>
          </w:p>
        </w:tc>
        <w:tc>
          <w:tcPr>
            <w:tcW w:w="1417" w:type="dxa"/>
            <w:tcBorders>
              <w:top w:val="single" w:sz="8" w:space="0" w:color="auto"/>
              <w:left w:val="single" w:sz="8" w:space="0" w:color="auto"/>
              <w:bottom w:val="single" w:sz="8" w:space="0" w:color="auto"/>
              <w:right w:val="single" w:sz="8" w:space="0" w:color="auto"/>
            </w:tcBorders>
          </w:tcPr>
          <w:p w14:paraId="66A194C3" w14:textId="2243CE38" w:rsidR="007B6010" w:rsidRDefault="006F1337">
            <w:pPr>
              <w:jc w:val="both"/>
              <w:rPr>
                <w:rFonts w:cstheme="minorHAnsi"/>
              </w:rPr>
            </w:pPr>
            <w:r>
              <w:rPr>
                <w:rFonts w:cstheme="minorHAnsi"/>
              </w:rPr>
              <w:t>7000</w:t>
            </w:r>
          </w:p>
        </w:tc>
        <w:tc>
          <w:tcPr>
            <w:tcW w:w="1418" w:type="dxa"/>
            <w:tcBorders>
              <w:top w:val="single" w:sz="8" w:space="0" w:color="auto"/>
              <w:left w:val="single" w:sz="8" w:space="0" w:color="auto"/>
              <w:bottom w:val="single" w:sz="8" w:space="0" w:color="auto"/>
              <w:right w:val="single" w:sz="8" w:space="0" w:color="auto"/>
            </w:tcBorders>
          </w:tcPr>
          <w:p w14:paraId="5FD4F6AC" w14:textId="77777777" w:rsidR="007B6010" w:rsidRDefault="007B6010">
            <w:pPr>
              <w:jc w:val="both"/>
              <w:rPr>
                <w:rFonts w:cstheme="minorHAnsi"/>
              </w:rPr>
            </w:pPr>
          </w:p>
        </w:tc>
      </w:tr>
      <w:tr w:rsidR="007B6010" w:rsidRPr="003F544B" w14:paraId="221D6683" w14:textId="77777777" w:rsidTr="003B4336">
        <w:trPr>
          <w:trHeight w:val="539"/>
        </w:trPr>
        <w:tc>
          <w:tcPr>
            <w:tcW w:w="564" w:type="dxa"/>
            <w:tcBorders>
              <w:top w:val="single" w:sz="8" w:space="0" w:color="auto"/>
              <w:left w:val="single" w:sz="8" w:space="0" w:color="auto"/>
              <w:bottom w:val="single" w:sz="8" w:space="0" w:color="auto"/>
              <w:right w:val="single" w:sz="8" w:space="0" w:color="auto"/>
            </w:tcBorders>
            <w:hideMark/>
          </w:tcPr>
          <w:p w14:paraId="37B430CE" w14:textId="77777777" w:rsidR="007B6010" w:rsidRDefault="007B6010">
            <w:pPr>
              <w:jc w:val="both"/>
              <w:rPr>
                <w:rFonts w:cstheme="minorHAnsi"/>
                <w:lang w:val="fr-FR"/>
              </w:rPr>
            </w:pPr>
            <w:r>
              <w:rPr>
                <w:rFonts w:cstheme="minorHAnsi"/>
              </w:rPr>
              <w:t>2</w:t>
            </w:r>
          </w:p>
        </w:tc>
        <w:tc>
          <w:tcPr>
            <w:tcW w:w="2323" w:type="dxa"/>
            <w:tcBorders>
              <w:top w:val="single" w:sz="8" w:space="0" w:color="auto"/>
              <w:left w:val="single" w:sz="8" w:space="0" w:color="auto"/>
              <w:bottom w:val="single" w:sz="8" w:space="0" w:color="auto"/>
              <w:right w:val="single" w:sz="8" w:space="0" w:color="auto"/>
            </w:tcBorders>
            <w:vAlign w:val="bottom"/>
            <w:hideMark/>
          </w:tcPr>
          <w:p w14:paraId="16C12395" w14:textId="77777777" w:rsidR="007B6010" w:rsidRPr="003B4336" w:rsidRDefault="007B6010">
            <w:pPr>
              <w:jc w:val="both"/>
              <w:rPr>
                <w:rFonts w:eastAsia="Aptos Narrow" w:cstheme="minorHAnsi"/>
                <w:color w:val="000000" w:themeColor="text1"/>
                <w:lang w:val="fr-FR"/>
              </w:rPr>
            </w:pPr>
            <w:r w:rsidRPr="003B4336">
              <w:rPr>
                <w:rFonts w:eastAsia="Aptos Narrow" w:cstheme="minorHAnsi"/>
                <w:color w:val="000000" w:themeColor="text1"/>
                <w:lang w:val="fr-FR"/>
              </w:rPr>
              <w:t>Kitchen set – Voir tableau ci-dessous</w:t>
            </w:r>
          </w:p>
        </w:tc>
        <w:tc>
          <w:tcPr>
            <w:tcW w:w="1056" w:type="dxa"/>
            <w:tcBorders>
              <w:top w:val="single" w:sz="8" w:space="0" w:color="auto"/>
              <w:left w:val="single" w:sz="8" w:space="0" w:color="auto"/>
              <w:bottom w:val="single" w:sz="8" w:space="0" w:color="auto"/>
              <w:right w:val="single" w:sz="8" w:space="0" w:color="auto"/>
            </w:tcBorders>
            <w:hideMark/>
          </w:tcPr>
          <w:p w14:paraId="0A7ECF51" w14:textId="77777777" w:rsidR="007B6010" w:rsidRDefault="007B6010">
            <w:pPr>
              <w:jc w:val="both"/>
              <w:rPr>
                <w:rFonts w:eastAsia="Calibri" w:cstheme="minorHAnsi"/>
              </w:rPr>
            </w:pPr>
            <w:r>
              <w:rPr>
                <w:rFonts w:cstheme="minorHAnsi"/>
              </w:rPr>
              <w:t>set</w:t>
            </w:r>
          </w:p>
        </w:tc>
        <w:tc>
          <w:tcPr>
            <w:tcW w:w="979" w:type="dxa"/>
            <w:tcBorders>
              <w:top w:val="single" w:sz="8" w:space="0" w:color="auto"/>
              <w:left w:val="single" w:sz="8" w:space="0" w:color="auto"/>
              <w:bottom w:val="single" w:sz="8" w:space="0" w:color="auto"/>
              <w:right w:val="single" w:sz="8" w:space="0" w:color="auto"/>
            </w:tcBorders>
          </w:tcPr>
          <w:p w14:paraId="720BE130" w14:textId="77777777" w:rsidR="007B6010" w:rsidRDefault="007B6010">
            <w:pPr>
              <w:jc w:val="both"/>
              <w:rPr>
                <w:rFonts w:cstheme="minorHAnsi"/>
              </w:rPr>
            </w:pPr>
          </w:p>
        </w:tc>
        <w:tc>
          <w:tcPr>
            <w:tcW w:w="1417" w:type="dxa"/>
            <w:tcBorders>
              <w:top w:val="single" w:sz="8" w:space="0" w:color="auto"/>
              <w:left w:val="single" w:sz="8" w:space="0" w:color="auto"/>
              <w:bottom w:val="single" w:sz="8" w:space="0" w:color="auto"/>
              <w:right w:val="single" w:sz="8" w:space="0" w:color="auto"/>
            </w:tcBorders>
          </w:tcPr>
          <w:p w14:paraId="4CCAE9D8" w14:textId="32C0C419" w:rsidR="007B6010" w:rsidRPr="0003017A" w:rsidRDefault="0003017A">
            <w:pPr>
              <w:jc w:val="both"/>
              <w:rPr>
                <w:rFonts w:cstheme="minorHAnsi"/>
                <w:lang w:val="fr-FR"/>
              </w:rPr>
            </w:pPr>
            <w:r w:rsidRPr="0003017A">
              <w:rPr>
                <w:rFonts w:cstheme="minorHAnsi"/>
                <w:lang w:val="fr-FR"/>
              </w:rPr>
              <w:t xml:space="preserve">Voir les </w:t>
            </w:r>
            <w:proofErr w:type="spellStart"/>
            <w:r w:rsidRPr="0003017A">
              <w:rPr>
                <w:rFonts w:cstheme="minorHAnsi"/>
                <w:lang w:val="fr-FR"/>
              </w:rPr>
              <w:t>quantities</w:t>
            </w:r>
            <w:proofErr w:type="spellEnd"/>
            <w:r w:rsidRPr="0003017A">
              <w:rPr>
                <w:rFonts w:cstheme="minorHAnsi"/>
                <w:lang w:val="fr-FR"/>
              </w:rPr>
              <w:t xml:space="preserve"> dans le</w:t>
            </w:r>
            <w:r>
              <w:rPr>
                <w:rFonts w:cstheme="minorHAnsi"/>
                <w:lang w:val="fr-FR"/>
              </w:rPr>
              <w:t xml:space="preserve"> tableau ci-dessous</w:t>
            </w:r>
          </w:p>
        </w:tc>
        <w:tc>
          <w:tcPr>
            <w:tcW w:w="1418" w:type="dxa"/>
            <w:tcBorders>
              <w:top w:val="single" w:sz="8" w:space="0" w:color="auto"/>
              <w:left w:val="single" w:sz="8" w:space="0" w:color="auto"/>
              <w:bottom w:val="single" w:sz="8" w:space="0" w:color="auto"/>
              <w:right w:val="single" w:sz="8" w:space="0" w:color="auto"/>
            </w:tcBorders>
          </w:tcPr>
          <w:p w14:paraId="1F79E39B" w14:textId="77777777" w:rsidR="007B6010" w:rsidRPr="0003017A" w:rsidRDefault="007B6010">
            <w:pPr>
              <w:jc w:val="both"/>
              <w:rPr>
                <w:rFonts w:cstheme="minorHAnsi"/>
                <w:lang w:val="fr-FR"/>
              </w:rPr>
            </w:pPr>
          </w:p>
        </w:tc>
      </w:tr>
      <w:tr w:rsidR="007B6010" w14:paraId="40CA6442" w14:textId="77777777" w:rsidTr="003B4336">
        <w:trPr>
          <w:trHeight w:val="547"/>
        </w:trPr>
        <w:tc>
          <w:tcPr>
            <w:tcW w:w="564" w:type="dxa"/>
            <w:tcBorders>
              <w:top w:val="single" w:sz="8" w:space="0" w:color="auto"/>
              <w:left w:val="single" w:sz="8" w:space="0" w:color="auto"/>
              <w:bottom w:val="single" w:sz="8" w:space="0" w:color="auto"/>
              <w:right w:val="single" w:sz="8" w:space="0" w:color="auto"/>
            </w:tcBorders>
            <w:hideMark/>
          </w:tcPr>
          <w:p w14:paraId="5CF261B7" w14:textId="77777777" w:rsidR="007B6010" w:rsidRDefault="007B6010">
            <w:pPr>
              <w:jc w:val="both"/>
              <w:rPr>
                <w:rFonts w:cstheme="minorHAnsi"/>
                <w:lang w:val="fr-FR"/>
              </w:rPr>
            </w:pPr>
            <w:r>
              <w:rPr>
                <w:rFonts w:cstheme="minorHAnsi"/>
              </w:rPr>
              <w:t>3</w:t>
            </w:r>
          </w:p>
        </w:tc>
        <w:tc>
          <w:tcPr>
            <w:tcW w:w="2323" w:type="dxa"/>
            <w:tcBorders>
              <w:top w:val="single" w:sz="8" w:space="0" w:color="auto"/>
              <w:left w:val="single" w:sz="8" w:space="0" w:color="auto"/>
              <w:bottom w:val="single" w:sz="8" w:space="0" w:color="auto"/>
              <w:right w:val="single" w:sz="8" w:space="0" w:color="auto"/>
            </w:tcBorders>
            <w:vAlign w:val="bottom"/>
            <w:hideMark/>
          </w:tcPr>
          <w:p w14:paraId="599B972D" w14:textId="0C615D01" w:rsidR="007B6010" w:rsidRDefault="001B329B">
            <w:pPr>
              <w:jc w:val="both"/>
              <w:rPr>
                <w:rFonts w:cstheme="minorHAnsi"/>
              </w:rPr>
            </w:pPr>
            <w:r>
              <w:rPr>
                <w:rFonts w:eastAsia="Arial" w:cstheme="minorHAnsi"/>
                <w:color w:val="000000" w:themeColor="text1"/>
              </w:rPr>
              <w:t xml:space="preserve">Synthetic sleeping mat (1*2m),100% synthetic </w:t>
            </w:r>
            <w:proofErr w:type="spellStart"/>
            <w:r>
              <w:rPr>
                <w:rFonts w:eastAsia="Arial" w:cstheme="minorHAnsi"/>
                <w:color w:val="000000" w:themeColor="text1"/>
              </w:rPr>
              <w:t>yarms</w:t>
            </w:r>
            <w:proofErr w:type="spellEnd"/>
          </w:p>
        </w:tc>
        <w:tc>
          <w:tcPr>
            <w:tcW w:w="1056" w:type="dxa"/>
            <w:tcBorders>
              <w:top w:val="single" w:sz="8" w:space="0" w:color="auto"/>
              <w:left w:val="single" w:sz="8" w:space="0" w:color="auto"/>
              <w:bottom w:val="single" w:sz="8" w:space="0" w:color="auto"/>
              <w:right w:val="single" w:sz="8" w:space="0" w:color="auto"/>
            </w:tcBorders>
            <w:hideMark/>
          </w:tcPr>
          <w:p w14:paraId="41037031" w14:textId="77777777" w:rsidR="007B6010" w:rsidRDefault="007B6010">
            <w:pPr>
              <w:jc w:val="both"/>
              <w:rPr>
                <w:rFonts w:cstheme="minorHAnsi"/>
                <w:lang w:val="fr-FR"/>
              </w:rPr>
            </w:pPr>
            <w:r>
              <w:rPr>
                <w:rFonts w:cstheme="minorHAnsi"/>
              </w:rPr>
              <w:t>piece</w:t>
            </w:r>
          </w:p>
        </w:tc>
        <w:tc>
          <w:tcPr>
            <w:tcW w:w="979" w:type="dxa"/>
            <w:tcBorders>
              <w:top w:val="single" w:sz="8" w:space="0" w:color="auto"/>
              <w:left w:val="single" w:sz="8" w:space="0" w:color="auto"/>
              <w:bottom w:val="single" w:sz="8" w:space="0" w:color="auto"/>
              <w:right w:val="single" w:sz="8" w:space="0" w:color="auto"/>
            </w:tcBorders>
          </w:tcPr>
          <w:p w14:paraId="1363E1F0" w14:textId="77777777" w:rsidR="007B6010" w:rsidRDefault="007B6010">
            <w:pPr>
              <w:jc w:val="both"/>
              <w:rPr>
                <w:rFonts w:cstheme="minorHAnsi"/>
              </w:rPr>
            </w:pPr>
          </w:p>
        </w:tc>
        <w:tc>
          <w:tcPr>
            <w:tcW w:w="1417" w:type="dxa"/>
            <w:tcBorders>
              <w:top w:val="single" w:sz="8" w:space="0" w:color="auto"/>
              <w:left w:val="single" w:sz="8" w:space="0" w:color="auto"/>
              <w:bottom w:val="single" w:sz="8" w:space="0" w:color="auto"/>
              <w:right w:val="single" w:sz="8" w:space="0" w:color="auto"/>
            </w:tcBorders>
          </w:tcPr>
          <w:p w14:paraId="79DF736C" w14:textId="485F25CC" w:rsidR="007B6010" w:rsidRDefault="00D23E7C">
            <w:pPr>
              <w:jc w:val="both"/>
              <w:rPr>
                <w:rFonts w:cstheme="minorHAnsi"/>
              </w:rPr>
            </w:pPr>
            <w:r>
              <w:rPr>
                <w:rFonts w:cstheme="minorHAnsi"/>
              </w:rPr>
              <w:t>14000</w:t>
            </w:r>
          </w:p>
        </w:tc>
        <w:tc>
          <w:tcPr>
            <w:tcW w:w="1418" w:type="dxa"/>
            <w:tcBorders>
              <w:top w:val="single" w:sz="8" w:space="0" w:color="auto"/>
              <w:left w:val="single" w:sz="8" w:space="0" w:color="auto"/>
              <w:bottom w:val="single" w:sz="8" w:space="0" w:color="auto"/>
              <w:right w:val="single" w:sz="8" w:space="0" w:color="auto"/>
            </w:tcBorders>
          </w:tcPr>
          <w:p w14:paraId="0C5C0221" w14:textId="77777777" w:rsidR="007B6010" w:rsidRDefault="007B6010">
            <w:pPr>
              <w:jc w:val="both"/>
              <w:rPr>
                <w:rFonts w:cstheme="minorHAnsi"/>
              </w:rPr>
            </w:pPr>
          </w:p>
        </w:tc>
      </w:tr>
      <w:tr w:rsidR="007B6010" w14:paraId="7B027D1A" w14:textId="77777777" w:rsidTr="003B4336">
        <w:trPr>
          <w:trHeight w:val="856"/>
        </w:trPr>
        <w:tc>
          <w:tcPr>
            <w:tcW w:w="564" w:type="dxa"/>
            <w:tcBorders>
              <w:top w:val="single" w:sz="8" w:space="0" w:color="auto"/>
              <w:left w:val="single" w:sz="8" w:space="0" w:color="auto"/>
              <w:bottom w:val="single" w:sz="8" w:space="0" w:color="auto"/>
              <w:right w:val="single" w:sz="8" w:space="0" w:color="auto"/>
            </w:tcBorders>
            <w:hideMark/>
          </w:tcPr>
          <w:p w14:paraId="2F7521A0" w14:textId="77777777" w:rsidR="007B6010" w:rsidRDefault="007B6010">
            <w:pPr>
              <w:jc w:val="both"/>
              <w:rPr>
                <w:rFonts w:cstheme="minorHAnsi"/>
                <w:lang w:val="fr-FR"/>
              </w:rPr>
            </w:pPr>
            <w:r>
              <w:rPr>
                <w:rFonts w:cstheme="minorHAnsi"/>
              </w:rPr>
              <w:t>4</w:t>
            </w:r>
          </w:p>
        </w:tc>
        <w:tc>
          <w:tcPr>
            <w:tcW w:w="2323" w:type="dxa"/>
            <w:tcBorders>
              <w:top w:val="single" w:sz="8" w:space="0" w:color="auto"/>
              <w:left w:val="single" w:sz="8" w:space="0" w:color="auto"/>
              <w:bottom w:val="single" w:sz="8" w:space="0" w:color="auto"/>
              <w:right w:val="single" w:sz="8" w:space="0" w:color="auto"/>
            </w:tcBorders>
            <w:vAlign w:val="bottom"/>
            <w:hideMark/>
          </w:tcPr>
          <w:p w14:paraId="3B97D54F" w14:textId="77777777" w:rsidR="007B6010" w:rsidRDefault="007B6010">
            <w:pPr>
              <w:jc w:val="both"/>
              <w:rPr>
                <w:rFonts w:cstheme="minorHAnsi"/>
              </w:rPr>
            </w:pPr>
            <w:r>
              <w:rPr>
                <w:rFonts w:eastAsia="Arial" w:cstheme="minorHAnsi"/>
                <w:color w:val="000000" w:themeColor="text1"/>
              </w:rPr>
              <w:t>Blanket (1,5*2m),weight :0.75-1.2kg</w:t>
            </w:r>
          </w:p>
        </w:tc>
        <w:tc>
          <w:tcPr>
            <w:tcW w:w="1056" w:type="dxa"/>
            <w:tcBorders>
              <w:top w:val="single" w:sz="8" w:space="0" w:color="auto"/>
              <w:left w:val="single" w:sz="8" w:space="0" w:color="auto"/>
              <w:bottom w:val="single" w:sz="8" w:space="0" w:color="auto"/>
              <w:right w:val="single" w:sz="8" w:space="0" w:color="auto"/>
            </w:tcBorders>
            <w:hideMark/>
          </w:tcPr>
          <w:p w14:paraId="4ADF1DE7" w14:textId="77777777" w:rsidR="007B6010" w:rsidRDefault="007B6010">
            <w:pPr>
              <w:jc w:val="both"/>
              <w:rPr>
                <w:rFonts w:cstheme="minorHAnsi"/>
              </w:rPr>
            </w:pPr>
            <w:r>
              <w:rPr>
                <w:rFonts w:cstheme="minorHAnsi"/>
              </w:rPr>
              <w:t>piece</w:t>
            </w:r>
          </w:p>
        </w:tc>
        <w:tc>
          <w:tcPr>
            <w:tcW w:w="979" w:type="dxa"/>
            <w:tcBorders>
              <w:top w:val="single" w:sz="8" w:space="0" w:color="auto"/>
              <w:left w:val="single" w:sz="8" w:space="0" w:color="auto"/>
              <w:bottom w:val="single" w:sz="8" w:space="0" w:color="auto"/>
              <w:right w:val="single" w:sz="8" w:space="0" w:color="auto"/>
            </w:tcBorders>
          </w:tcPr>
          <w:p w14:paraId="2A447430" w14:textId="77777777" w:rsidR="007B6010" w:rsidRDefault="007B6010">
            <w:pPr>
              <w:jc w:val="both"/>
              <w:rPr>
                <w:rFonts w:cstheme="minorHAnsi"/>
              </w:rPr>
            </w:pPr>
          </w:p>
        </w:tc>
        <w:tc>
          <w:tcPr>
            <w:tcW w:w="1417" w:type="dxa"/>
            <w:tcBorders>
              <w:top w:val="single" w:sz="8" w:space="0" w:color="auto"/>
              <w:left w:val="single" w:sz="8" w:space="0" w:color="auto"/>
              <w:bottom w:val="single" w:sz="8" w:space="0" w:color="auto"/>
              <w:right w:val="single" w:sz="8" w:space="0" w:color="auto"/>
            </w:tcBorders>
          </w:tcPr>
          <w:p w14:paraId="1F2A14E7" w14:textId="3E6C963F" w:rsidR="007B6010" w:rsidRDefault="00D23E7C">
            <w:pPr>
              <w:jc w:val="both"/>
              <w:rPr>
                <w:rFonts w:cstheme="minorHAnsi"/>
              </w:rPr>
            </w:pPr>
            <w:r>
              <w:rPr>
                <w:rFonts w:cstheme="minorHAnsi"/>
              </w:rPr>
              <w:t>14000</w:t>
            </w:r>
          </w:p>
        </w:tc>
        <w:tc>
          <w:tcPr>
            <w:tcW w:w="1418" w:type="dxa"/>
            <w:tcBorders>
              <w:top w:val="single" w:sz="8" w:space="0" w:color="auto"/>
              <w:left w:val="single" w:sz="8" w:space="0" w:color="auto"/>
              <w:bottom w:val="single" w:sz="8" w:space="0" w:color="auto"/>
              <w:right w:val="single" w:sz="8" w:space="0" w:color="auto"/>
            </w:tcBorders>
          </w:tcPr>
          <w:p w14:paraId="2C70B5FD" w14:textId="77777777" w:rsidR="007B6010" w:rsidRDefault="007B6010">
            <w:pPr>
              <w:jc w:val="both"/>
              <w:rPr>
                <w:rFonts w:cstheme="minorHAnsi"/>
              </w:rPr>
            </w:pPr>
          </w:p>
        </w:tc>
      </w:tr>
      <w:tr w:rsidR="007B6010" w14:paraId="1C5EB1CC" w14:textId="77777777" w:rsidTr="003B4336">
        <w:trPr>
          <w:trHeight w:val="750"/>
        </w:trPr>
        <w:tc>
          <w:tcPr>
            <w:tcW w:w="564" w:type="dxa"/>
            <w:tcBorders>
              <w:top w:val="single" w:sz="8" w:space="0" w:color="auto"/>
              <w:left w:val="single" w:sz="8" w:space="0" w:color="auto"/>
              <w:bottom w:val="single" w:sz="8" w:space="0" w:color="auto"/>
              <w:right w:val="single" w:sz="8" w:space="0" w:color="auto"/>
            </w:tcBorders>
            <w:hideMark/>
          </w:tcPr>
          <w:p w14:paraId="2986589D" w14:textId="77777777" w:rsidR="007B6010" w:rsidRDefault="007B6010">
            <w:pPr>
              <w:jc w:val="both"/>
              <w:rPr>
                <w:rFonts w:cstheme="minorHAnsi"/>
                <w:lang w:val="fr-FR"/>
              </w:rPr>
            </w:pPr>
            <w:r>
              <w:rPr>
                <w:rFonts w:cstheme="minorHAnsi"/>
              </w:rPr>
              <w:t>5</w:t>
            </w:r>
          </w:p>
        </w:tc>
        <w:tc>
          <w:tcPr>
            <w:tcW w:w="2323" w:type="dxa"/>
            <w:tcBorders>
              <w:top w:val="single" w:sz="8" w:space="0" w:color="auto"/>
              <w:left w:val="single" w:sz="8" w:space="0" w:color="auto"/>
              <w:bottom w:val="single" w:sz="8" w:space="0" w:color="auto"/>
              <w:right w:val="single" w:sz="8" w:space="0" w:color="auto"/>
            </w:tcBorders>
            <w:vAlign w:val="bottom"/>
            <w:hideMark/>
          </w:tcPr>
          <w:p w14:paraId="220256C7" w14:textId="77777777" w:rsidR="007B6010" w:rsidRDefault="007B6010">
            <w:pPr>
              <w:jc w:val="both"/>
              <w:rPr>
                <w:rFonts w:cstheme="minorHAnsi"/>
              </w:rPr>
            </w:pPr>
            <w:r>
              <w:rPr>
                <w:rFonts w:eastAsia="Arial" w:cstheme="minorHAnsi"/>
                <w:color w:val="000000" w:themeColor="text1"/>
              </w:rPr>
              <w:t>Woven polypropylene kitting bags ,1000L</w:t>
            </w:r>
          </w:p>
        </w:tc>
        <w:tc>
          <w:tcPr>
            <w:tcW w:w="1056" w:type="dxa"/>
            <w:tcBorders>
              <w:top w:val="single" w:sz="8" w:space="0" w:color="auto"/>
              <w:left w:val="single" w:sz="8" w:space="0" w:color="auto"/>
              <w:bottom w:val="single" w:sz="8" w:space="0" w:color="auto"/>
              <w:right w:val="single" w:sz="8" w:space="0" w:color="auto"/>
            </w:tcBorders>
            <w:hideMark/>
          </w:tcPr>
          <w:p w14:paraId="4EC7DEAB" w14:textId="77777777" w:rsidR="007B6010" w:rsidRDefault="007B6010">
            <w:pPr>
              <w:jc w:val="both"/>
              <w:rPr>
                <w:rFonts w:cstheme="minorHAnsi"/>
                <w:lang w:val="fr-FR"/>
              </w:rPr>
            </w:pPr>
            <w:r>
              <w:rPr>
                <w:rFonts w:cstheme="minorHAnsi"/>
              </w:rPr>
              <w:t>piece</w:t>
            </w:r>
          </w:p>
        </w:tc>
        <w:tc>
          <w:tcPr>
            <w:tcW w:w="979" w:type="dxa"/>
            <w:tcBorders>
              <w:top w:val="single" w:sz="8" w:space="0" w:color="auto"/>
              <w:left w:val="single" w:sz="8" w:space="0" w:color="auto"/>
              <w:bottom w:val="single" w:sz="8" w:space="0" w:color="auto"/>
              <w:right w:val="single" w:sz="8" w:space="0" w:color="auto"/>
            </w:tcBorders>
          </w:tcPr>
          <w:p w14:paraId="39EF324C" w14:textId="77777777" w:rsidR="007B6010" w:rsidRDefault="007B6010">
            <w:pPr>
              <w:jc w:val="both"/>
              <w:rPr>
                <w:rFonts w:cstheme="minorHAnsi"/>
              </w:rPr>
            </w:pPr>
          </w:p>
        </w:tc>
        <w:tc>
          <w:tcPr>
            <w:tcW w:w="1417" w:type="dxa"/>
            <w:tcBorders>
              <w:top w:val="single" w:sz="8" w:space="0" w:color="auto"/>
              <w:left w:val="single" w:sz="8" w:space="0" w:color="auto"/>
              <w:bottom w:val="single" w:sz="8" w:space="0" w:color="auto"/>
              <w:right w:val="single" w:sz="8" w:space="0" w:color="auto"/>
            </w:tcBorders>
          </w:tcPr>
          <w:p w14:paraId="28696F3E" w14:textId="55A37DA5" w:rsidR="007B6010" w:rsidRDefault="00D23E7C">
            <w:pPr>
              <w:jc w:val="both"/>
              <w:rPr>
                <w:rFonts w:cstheme="minorHAnsi"/>
              </w:rPr>
            </w:pPr>
            <w:r>
              <w:rPr>
                <w:rFonts w:cstheme="minorHAnsi"/>
              </w:rPr>
              <w:t>7000</w:t>
            </w:r>
          </w:p>
        </w:tc>
        <w:tc>
          <w:tcPr>
            <w:tcW w:w="1418" w:type="dxa"/>
            <w:tcBorders>
              <w:top w:val="single" w:sz="8" w:space="0" w:color="auto"/>
              <w:left w:val="single" w:sz="8" w:space="0" w:color="auto"/>
              <w:bottom w:val="single" w:sz="8" w:space="0" w:color="auto"/>
              <w:right w:val="single" w:sz="8" w:space="0" w:color="auto"/>
            </w:tcBorders>
          </w:tcPr>
          <w:p w14:paraId="6FDD6AFF" w14:textId="77777777" w:rsidR="007B6010" w:rsidRDefault="007B6010">
            <w:pPr>
              <w:jc w:val="both"/>
              <w:rPr>
                <w:rFonts w:cstheme="minorHAnsi"/>
              </w:rPr>
            </w:pPr>
          </w:p>
        </w:tc>
      </w:tr>
      <w:tr w:rsidR="007B6010" w14:paraId="5644B791" w14:textId="77777777" w:rsidTr="003B4336">
        <w:trPr>
          <w:trHeight w:val="1470"/>
        </w:trPr>
        <w:tc>
          <w:tcPr>
            <w:tcW w:w="564" w:type="dxa"/>
            <w:tcBorders>
              <w:top w:val="single" w:sz="8" w:space="0" w:color="auto"/>
              <w:left w:val="single" w:sz="8" w:space="0" w:color="auto"/>
              <w:bottom w:val="single" w:sz="8" w:space="0" w:color="auto"/>
              <w:right w:val="single" w:sz="8" w:space="0" w:color="auto"/>
            </w:tcBorders>
            <w:hideMark/>
          </w:tcPr>
          <w:p w14:paraId="77D7AE01" w14:textId="77777777" w:rsidR="007B6010" w:rsidRDefault="007B6010">
            <w:pPr>
              <w:jc w:val="both"/>
              <w:rPr>
                <w:rFonts w:cstheme="minorHAnsi"/>
                <w:lang w:val="fr-FR"/>
              </w:rPr>
            </w:pPr>
            <w:r>
              <w:rPr>
                <w:rFonts w:cstheme="minorHAnsi"/>
              </w:rPr>
              <w:t>6</w:t>
            </w:r>
          </w:p>
        </w:tc>
        <w:tc>
          <w:tcPr>
            <w:tcW w:w="2323" w:type="dxa"/>
            <w:tcBorders>
              <w:top w:val="single" w:sz="8" w:space="0" w:color="auto"/>
              <w:left w:val="single" w:sz="8" w:space="0" w:color="auto"/>
              <w:bottom w:val="single" w:sz="8" w:space="0" w:color="auto"/>
              <w:right w:val="single" w:sz="8" w:space="0" w:color="auto"/>
            </w:tcBorders>
            <w:vAlign w:val="bottom"/>
            <w:hideMark/>
          </w:tcPr>
          <w:p w14:paraId="283B66D5" w14:textId="77777777" w:rsidR="007B6010" w:rsidRDefault="007B6010">
            <w:pPr>
              <w:jc w:val="both"/>
              <w:rPr>
                <w:rFonts w:cstheme="minorHAnsi"/>
              </w:rPr>
            </w:pPr>
            <w:r>
              <w:rPr>
                <w:rFonts w:eastAsia="Arial" w:cstheme="minorHAnsi"/>
                <w:color w:val="000000" w:themeColor="text1"/>
              </w:rPr>
              <w:t xml:space="preserve">Heavy-duty plastic bucket, with handle and </w:t>
            </w:r>
            <w:proofErr w:type="spellStart"/>
            <w:r>
              <w:rPr>
                <w:rFonts w:eastAsia="Arial" w:cstheme="minorHAnsi"/>
                <w:color w:val="000000" w:themeColor="text1"/>
              </w:rPr>
              <w:t>lidand</w:t>
            </w:r>
            <w:proofErr w:type="spellEnd"/>
            <w:r>
              <w:rPr>
                <w:rFonts w:eastAsia="Arial" w:cstheme="minorHAnsi"/>
                <w:color w:val="000000" w:themeColor="text1"/>
              </w:rPr>
              <w:t xml:space="preserve"> with IOM and donor logos (20L)</w:t>
            </w:r>
          </w:p>
        </w:tc>
        <w:tc>
          <w:tcPr>
            <w:tcW w:w="1056" w:type="dxa"/>
            <w:tcBorders>
              <w:top w:val="single" w:sz="8" w:space="0" w:color="auto"/>
              <w:left w:val="single" w:sz="8" w:space="0" w:color="auto"/>
              <w:bottom w:val="single" w:sz="8" w:space="0" w:color="auto"/>
              <w:right w:val="single" w:sz="8" w:space="0" w:color="auto"/>
            </w:tcBorders>
            <w:hideMark/>
          </w:tcPr>
          <w:p w14:paraId="09E4C6A2" w14:textId="77777777" w:rsidR="007B6010" w:rsidRDefault="007B6010">
            <w:pPr>
              <w:jc w:val="both"/>
              <w:rPr>
                <w:rFonts w:cstheme="minorHAnsi"/>
                <w:lang w:val="fr-FR"/>
              </w:rPr>
            </w:pPr>
            <w:r>
              <w:rPr>
                <w:rFonts w:cstheme="minorHAnsi"/>
              </w:rPr>
              <w:t>piece</w:t>
            </w:r>
          </w:p>
        </w:tc>
        <w:tc>
          <w:tcPr>
            <w:tcW w:w="979" w:type="dxa"/>
            <w:tcBorders>
              <w:top w:val="single" w:sz="8" w:space="0" w:color="auto"/>
              <w:left w:val="single" w:sz="8" w:space="0" w:color="auto"/>
              <w:bottom w:val="single" w:sz="8" w:space="0" w:color="auto"/>
              <w:right w:val="single" w:sz="8" w:space="0" w:color="auto"/>
            </w:tcBorders>
          </w:tcPr>
          <w:p w14:paraId="5B013E36" w14:textId="77777777" w:rsidR="007B6010" w:rsidRDefault="007B6010">
            <w:pPr>
              <w:jc w:val="both"/>
              <w:rPr>
                <w:rFonts w:cstheme="minorHAnsi"/>
              </w:rPr>
            </w:pPr>
          </w:p>
        </w:tc>
        <w:tc>
          <w:tcPr>
            <w:tcW w:w="1417" w:type="dxa"/>
            <w:tcBorders>
              <w:top w:val="single" w:sz="8" w:space="0" w:color="auto"/>
              <w:left w:val="single" w:sz="8" w:space="0" w:color="auto"/>
              <w:bottom w:val="single" w:sz="8" w:space="0" w:color="auto"/>
              <w:right w:val="single" w:sz="8" w:space="0" w:color="auto"/>
            </w:tcBorders>
          </w:tcPr>
          <w:p w14:paraId="59BC79A1" w14:textId="5C4FF43E" w:rsidR="007B6010" w:rsidRDefault="00D23E7C">
            <w:pPr>
              <w:jc w:val="both"/>
              <w:rPr>
                <w:rFonts w:cstheme="minorHAnsi"/>
              </w:rPr>
            </w:pPr>
            <w:r>
              <w:rPr>
                <w:rFonts w:cstheme="minorHAnsi"/>
              </w:rPr>
              <w:t>7000</w:t>
            </w:r>
          </w:p>
        </w:tc>
        <w:tc>
          <w:tcPr>
            <w:tcW w:w="1418" w:type="dxa"/>
            <w:tcBorders>
              <w:top w:val="single" w:sz="8" w:space="0" w:color="auto"/>
              <w:left w:val="single" w:sz="8" w:space="0" w:color="auto"/>
              <w:bottom w:val="single" w:sz="8" w:space="0" w:color="auto"/>
              <w:right w:val="single" w:sz="8" w:space="0" w:color="auto"/>
            </w:tcBorders>
          </w:tcPr>
          <w:p w14:paraId="2E92F16D" w14:textId="77777777" w:rsidR="007B6010" w:rsidRDefault="007B6010">
            <w:pPr>
              <w:jc w:val="both"/>
              <w:rPr>
                <w:rFonts w:cstheme="minorHAnsi"/>
              </w:rPr>
            </w:pPr>
          </w:p>
        </w:tc>
      </w:tr>
      <w:tr w:rsidR="007B6010" w14:paraId="18360E69" w14:textId="77777777" w:rsidTr="003B4336">
        <w:trPr>
          <w:trHeight w:val="835"/>
        </w:trPr>
        <w:tc>
          <w:tcPr>
            <w:tcW w:w="564" w:type="dxa"/>
            <w:tcBorders>
              <w:top w:val="single" w:sz="8" w:space="0" w:color="auto"/>
              <w:left w:val="single" w:sz="8" w:space="0" w:color="auto"/>
              <w:bottom w:val="single" w:sz="8" w:space="0" w:color="auto"/>
              <w:right w:val="single" w:sz="8" w:space="0" w:color="auto"/>
            </w:tcBorders>
            <w:hideMark/>
          </w:tcPr>
          <w:p w14:paraId="25430EC4" w14:textId="77777777" w:rsidR="007B6010" w:rsidRDefault="007B6010">
            <w:pPr>
              <w:jc w:val="both"/>
              <w:rPr>
                <w:rFonts w:cstheme="minorHAnsi"/>
                <w:lang w:val="fr-FR"/>
              </w:rPr>
            </w:pPr>
            <w:r>
              <w:rPr>
                <w:rFonts w:cstheme="minorHAnsi"/>
              </w:rPr>
              <w:t>7</w:t>
            </w:r>
          </w:p>
        </w:tc>
        <w:tc>
          <w:tcPr>
            <w:tcW w:w="2323" w:type="dxa"/>
            <w:tcBorders>
              <w:top w:val="single" w:sz="8" w:space="0" w:color="auto"/>
              <w:left w:val="single" w:sz="8" w:space="0" w:color="auto"/>
              <w:bottom w:val="single" w:sz="8" w:space="0" w:color="auto"/>
              <w:right w:val="single" w:sz="8" w:space="0" w:color="auto"/>
            </w:tcBorders>
            <w:vAlign w:val="bottom"/>
            <w:hideMark/>
          </w:tcPr>
          <w:p w14:paraId="189A4DEC" w14:textId="77777777" w:rsidR="007B6010" w:rsidRDefault="007B6010">
            <w:pPr>
              <w:jc w:val="both"/>
              <w:rPr>
                <w:rFonts w:cstheme="minorHAnsi"/>
              </w:rPr>
            </w:pPr>
            <w:r>
              <w:rPr>
                <w:rFonts w:eastAsia="Aptos Narrow" w:cstheme="minorHAnsi"/>
                <w:color w:val="000000" w:themeColor="text1"/>
              </w:rPr>
              <w:t>Standard rectangular shape jerrycan 20L,plastic rigid</w:t>
            </w:r>
          </w:p>
        </w:tc>
        <w:tc>
          <w:tcPr>
            <w:tcW w:w="1056" w:type="dxa"/>
            <w:tcBorders>
              <w:top w:val="single" w:sz="8" w:space="0" w:color="auto"/>
              <w:left w:val="single" w:sz="8" w:space="0" w:color="auto"/>
              <w:bottom w:val="single" w:sz="8" w:space="0" w:color="auto"/>
              <w:right w:val="single" w:sz="8" w:space="0" w:color="auto"/>
            </w:tcBorders>
            <w:hideMark/>
          </w:tcPr>
          <w:p w14:paraId="72AC0C9B" w14:textId="77777777" w:rsidR="007B6010" w:rsidRDefault="007B6010">
            <w:pPr>
              <w:jc w:val="both"/>
              <w:rPr>
                <w:rFonts w:cstheme="minorHAnsi"/>
                <w:lang w:val="fr-FR"/>
              </w:rPr>
            </w:pPr>
            <w:r>
              <w:rPr>
                <w:rFonts w:cstheme="minorHAnsi"/>
              </w:rPr>
              <w:t>Piece</w:t>
            </w:r>
          </w:p>
        </w:tc>
        <w:tc>
          <w:tcPr>
            <w:tcW w:w="979" w:type="dxa"/>
            <w:tcBorders>
              <w:top w:val="single" w:sz="8" w:space="0" w:color="auto"/>
              <w:left w:val="single" w:sz="8" w:space="0" w:color="auto"/>
              <w:bottom w:val="single" w:sz="8" w:space="0" w:color="auto"/>
              <w:right w:val="single" w:sz="8" w:space="0" w:color="auto"/>
            </w:tcBorders>
          </w:tcPr>
          <w:p w14:paraId="5789ABEC" w14:textId="77777777" w:rsidR="007B6010" w:rsidRDefault="007B6010">
            <w:pPr>
              <w:jc w:val="both"/>
              <w:rPr>
                <w:rFonts w:cstheme="minorHAnsi"/>
              </w:rPr>
            </w:pPr>
          </w:p>
        </w:tc>
        <w:tc>
          <w:tcPr>
            <w:tcW w:w="1417" w:type="dxa"/>
            <w:tcBorders>
              <w:top w:val="single" w:sz="8" w:space="0" w:color="auto"/>
              <w:left w:val="single" w:sz="8" w:space="0" w:color="auto"/>
              <w:bottom w:val="single" w:sz="8" w:space="0" w:color="auto"/>
              <w:right w:val="single" w:sz="8" w:space="0" w:color="auto"/>
            </w:tcBorders>
          </w:tcPr>
          <w:p w14:paraId="579564E2" w14:textId="79C16AF1" w:rsidR="007B6010" w:rsidRDefault="00D23E7C">
            <w:pPr>
              <w:jc w:val="both"/>
              <w:rPr>
                <w:rFonts w:cstheme="minorHAnsi"/>
              </w:rPr>
            </w:pPr>
            <w:r>
              <w:rPr>
                <w:rFonts w:cstheme="minorHAnsi"/>
              </w:rPr>
              <w:t>7000</w:t>
            </w:r>
          </w:p>
        </w:tc>
        <w:tc>
          <w:tcPr>
            <w:tcW w:w="1418" w:type="dxa"/>
            <w:tcBorders>
              <w:top w:val="single" w:sz="8" w:space="0" w:color="auto"/>
              <w:left w:val="single" w:sz="8" w:space="0" w:color="auto"/>
              <w:bottom w:val="single" w:sz="8" w:space="0" w:color="auto"/>
              <w:right w:val="single" w:sz="8" w:space="0" w:color="auto"/>
            </w:tcBorders>
          </w:tcPr>
          <w:p w14:paraId="194C1E60" w14:textId="77777777" w:rsidR="007B6010" w:rsidRDefault="007B6010">
            <w:pPr>
              <w:jc w:val="both"/>
              <w:rPr>
                <w:rFonts w:cstheme="minorHAnsi"/>
              </w:rPr>
            </w:pPr>
          </w:p>
        </w:tc>
      </w:tr>
    </w:tbl>
    <w:p w14:paraId="568C3A10" w14:textId="77777777" w:rsidR="003B4336" w:rsidRPr="003B4336" w:rsidRDefault="003B4336" w:rsidP="005E103B">
      <w:pPr>
        <w:jc w:val="both"/>
        <w:rPr>
          <w:lang w:val="fr-FR"/>
        </w:rPr>
      </w:pPr>
    </w:p>
    <w:p w14:paraId="7300F054" w14:textId="77777777" w:rsidR="003B4336" w:rsidRPr="003B4336" w:rsidRDefault="003B4336" w:rsidP="005E103B">
      <w:pPr>
        <w:jc w:val="both"/>
        <w:rPr>
          <w:i/>
          <w:iCs/>
        </w:rPr>
      </w:pPr>
    </w:p>
    <w:tbl>
      <w:tblPr>
        <w:tblW w:w="7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5" w:type="dxa"/>
          <w:left w:w="70" w:type="dxa"/>
          <w:bottom w:w="15" w:type="dxa"/>
          <w:right w:w="70" w:type="dxa"/>
        </w:tblCellMar>
        <w:tblLook w:val="04A0" w:firstRow="1" w:lastRow="0" w:firstColumn="1" w:lastColumn="0" w:noHBand="0" w:noVBand="1"/>
      </w:tblPr>
      <w:tblGrid>
        <w:gridCol w:w="2967"/>
        <w:gridCol w:w="1134"/>
        <w:gridCol w:w="992"/>
        <w:gridCol w:w="1418"/>
        <w:gridCol w:w="1417"/>
      </w:tblGrid>
      <w:tr w:rsidR="003169DE" w:rsidRPr="007E3830" w14:paraId="10BB2575" w14:textId="6BF9CB38" w:rsidTr="003169DE">
        <w:trPr>
          <w:trHeight w:val="285"/>
        </w:trPr>
        <w:tc>
          <w:tcPr>
            <w:tcW w:w="2967" w:type="dxa"/>
            <w:shd w:val="clear" w:color="000000" w:fill="C0E6F5"/>
            <w:noWrap/>
            <w:vAlign w:val="bottom"/>
            <w:hideMark/>
          </w:tcPr>
          <w:p w14:paraId="7C8EE383" w14:textId="56D7226A" w:rsidR="003169DE" w:rsidRPr="00B003AC" w:rsidRDefault="003169DE" w:rsidP="003169DE">
            <w:pPr>
              <w:spacing w:after="0" w:line="240" w:lineRule="auto"/>
              <w:rPr>
                <w:rFonts w:ascii="Aptos Narrow" w:eastAsia="Times New Roman" w:hAnsi="Aptos Narrow" w:cs="Times New Roman"/>
                <w:b/>
                <w:bCs/>
                <w:color w:val="000000"/>
                <w:lang w:val="fr-FR" w:eastAsia="fr-FR"/>
              </w:rPr>
            </w:pPr>
            <w:r>
              <w:rPr>
                <w:rFonts w:ascii="Aptos Narrow" w:eastAsia="Times New Roman" w:hAnsi="Aptos Narrow" w:cs="Times New Roman"/>
                <w:b/>
                <w:bCs/>
                <w:color w:val="000000"/>
                <w:lang w:val="fr-FR" w:eastAsia="fr-FR"/>
              </w:rPr>
              <w:t>*</w:t>
            </w:r>
            <w:r w:rsidRPr="00B003AC">
              <w:rPr>
                <w:rFonts w:ascii="Aptos Narrow" w:eastAsia="Times New Roman" w:hAnsi="Aptos Narrow" w:cs="Times New Roman"/>
                <w:b/>
                <w:bCs/>
                <w:color w:val="000000"/>
                <w:lang w:val="fr-FR" w:eastAsia="fr-FR"/>
              </w:rPr>
              <w:t>Kitchen set description</w:t>
            </w:r>
          </w:p>
        </w:tc>
        <w:tc>
          <w:tcPr>
            <w:tcW w:w="1134" w:type="dxa"/>
          </w:tcPr>
          <w:p w14:paraId="627E4525" w14:textId="48C31AEA" w:rsidR="003169DE" w:rsidRDefault="003169DE" w:rsidP="003169DE">
            <w:pPr>
              <w:spacing w:after="0" w:line="240" w:lineRule="auto"/>
              <w:rPr>
                <w:rFonts w:ascii="Aptos Narrow" w:eastAsia="Times New Roman" w:hAnsi="Aptos Narrow" w:cs="Times New Roman"/>
                <w:b/>
                <w:bCs/>
                <w:color w:val="000000"/>
                <w:lang w:val="fr-FR" w:eastAsia="fr-FR"/>
              </w:rPr>
            </w:pPr>
            <w:r>
              <w:rPr>
                <w:rFonts w:ascii="Aptos Narrow" w:eastAsia="Times New Roman" w:hAnsi="Aptos Narrow" w:cs="Times New Roman"/>
                <w:b/>
                <w:bCs/>
                <w:color w:val="000000"/>
                <w:lang w:val="fr-FR" w:eastAsia="fr-FR"/>
              </w:rPr>
              <w:t>UOM</w:t>
            </w:r>
          </w:p>
        </w:tc>
        <w:tc>
          <w:tcPr>
            <w:tcW w:w="992" w:type="dxa"/>
          </w:tcPr>
          <w:p w14:paraId="0051D0C9" w14:textId="29769956" w:rsidR="003169DE" w:rsidRDefault="003169DE" w:rsidP="003169DE">
            <w:pPr>
              <w:spacing w:after="0" w:line="240" w:lineRule="auto"/>
              <w:rPr>
                <w:rFonts w:ascii="Aptos Narrow" w:eastAsia="Times New Roman" w:hAnsi="Aptos Narrow" w:cs="Times New Roman"/>
                <w:b/>
                <w:bCs/>
                <w:color w:val="000000"/>
                <w:lang w:val="fr-FR" w:eastAsia="fr-FR"/>
              </w:rPr>
            </w:pPr>
            <w:r>
              <w:rPr>
                <w:rFonts w:cstheme="minorHAnsi"/>
                <w:b/>
                <w:bCs/>
              </w:rPr>
              <w:t>KALEMIE</w:t>
            </w:r>
          </w:p>
        </w:tc>
        <w:tc>
          <w:tcPr>
            <w:tcW w:w="1418" w:type="dxa"/>
          </w:tcPr>
          <w:p w14:paraId="45E54CE9" w14:textId="77777777" w:rsidR="003169DE" w:rsidRDefault="003169DE" w:rsidP="003169DE">
            <w:pPr>
              <w:jc w:val="center"/>
              <w:rPr>
                <w:rFonts w:cstheme="minorHAnsi"/>
                <w:lang w:val="fr-FR"/>
              </w:rPr>
            </w:pPr>
            <w:r>
              <w:rPr>
                <w:rFonts w:cstheme="minorHAnsi"/>
                <w:b/>
                <w:bCs/>
              </w:rPr>
              <w:t>BUNIA</w:t>
            </w:r>
          </w:p>
          <w:p w14:paraId="3678F99D" w14:textId="77777777" w:rsidR="003169DE" w:rsidRDefault="003169DE" w:rsidP="003169DE">
            <w:pPr>
              <w:spacing w:after="0" w:line="240" w:lineRule="auto"/>
              <w:rPr>
                <w:rFonts w:ascii="Aptos Narrow" w:eastAsia="Times New Roman" w:hAnsi="Aptos Narrow" w:cs="Times New Roman"/>
                <w:b/>
                <w:bCs/>
                <w:color w:val="000000"/>
                <w:lang w:val="fr-FR" w:eastAsia="fr-FR"/>
              </w:rPr>
            </w:pPr>
          </w:p>
        </w:tc>
        <w:tc>
          <w:tcPr>
            <w:tcW w:w="1417" w:type="dxa"/>
          </w:tcPr>
          <w:p w14:paraId="08C46A3A" w14:textId="77777777" w:rsidR="003169DE" w:rsidRDefault="003169DE" w:rsidP="003169DE">
            <w:pPr>
              <w:jc w:val="center"/>
              <w:rPr>
                <w:rFonts w:cstheme="minorHAnsi"/>
                <w:b/>
                <w:bCs/>
              </w:rPr>
            </w:pPr>
            <w:r>
              <w:rPr>
                <w:rFonts w:cstheme="minorHAnsi"/>
                <w:b/>
                <w:bCs/>
              </w:rPr>
              <w:t>GOMA</w:t>
            </w:r>
          </w:p>
          <w:p w14:paraId="68F6166E" w14:textId="77777777" w:rsidR="003169DE" w:rsidRDefault="003169DE" w:rsidP="003169DE">
            <w:pPr>
              <w:spacing w:after="0" w:line="240" w:lineRule="auto"/>
              <w:rPr>
                <w:rFonts w:ascii="Aptos Narrow" w:eastAsia="Times New Roman" w:hAnsi="Aptos Narrow" w:cs="Times New Roman"/>
                <w:b/>
                <w:bCs/>
                <w:color w:val="000000"/>
                <w:lang w:val="fr-FR" w:eastAsia="fr-FR"/>
              </w:rPr>
            </w:pPr>
          </w:p>
        </w:tc>
      </w:tr>
      <w:tr w:rsidR="000A4198" w:rsidRPr="007E3830" w14:paraId="5CF9CAC8" w14:textId="49FA79DA" w:rsidTr="00FE684E">
        <w:trPr>
          <w:trHeight w:val="285"/>
        </w:trPr>
        <w:tc>
          <w:tcPr>
            <w:tcW w:w="2967" w:type="dxa"/>
            <w:shd w:val="clear" w:color="000000" w:fill="FFFFFF"/>
            <w:vAlign w:val="bottom"/>
            <w:hideMark/>
          </w:tcPr>
          <w:p w14:paraId="7698BF8F" w14:textId="77777777" w:rsidR="000A4198" w:rsidRPr="007E3830" w:rsidRDefault="000A4198" w:rsidP="000A4198">
            <w:pPr>
              <w:spacing w:after="0" w:line="240" w:lineRule="auto"/>
              <w:rPr>
                <w:rFonts w:ascii="Arial" w:eastAsia="Times New Roman" w:hAnsi="Arial" w:cs="Arial"/>
                <w:color w:val="000000"/>
                <w:sz w:val="20"/>
                <w:szCs w:val="20"/>
                <w:lang w:val="fr-FR" w:eastAsia="fr-FR"/>
              </w:rPr>
            </w:pPr>
            <w:r w:rsidRPr="007E3830">
              <w:rPr>
                <w:rFonts w:ascii="Arial" w:eastAsia="Times New Roman" w:hAnsi="Arial" w:cs="Arial"/>
                <w:color w:val="000000"/>
                <w:sz w:val="20"/>
                <w:szCs w:val="20"/>
                <w:lang w:val="fr-FR" w:eastAsia="fr-FR"/>
              </w:rPr>
              <w:t xml:space="preserve">Stainless </w:t>
            </w:r>
            <w:proofErr w:type="spellStart"/>
            <w:r w:rsidRPr="007E3830">
              <w:rPr>
                <w:rFonts w:ascii="Arial" w:eastAsia="Times New Roman" w:hAnsi="Arial" w:cs="Arial"/>
                <w:color w:val="000000"/>
                <w:sz w:val="20"/>
                <w:szCs w:val="20"/>
                <w:lang w:val="fr-FR" w:eastAsia="fr-FR"/>
              </w:rPr>
              <w:t>steel</w:t>
            </w:r>
            <w:proofErr w:type="spellEnd"/>
            <w:r w:rsidRPr="007E3830">
              <w:rPr>
                <w:rFonts w:ascii="Arial" w:eastAsia="Times New Roman" w:hAnsi="Arial" w:cs="Arial"/>
                <w:color w:val="000000"/>
                <w:sz w:val="20"/>
                <w:szCs w:val="20"/>
                <w:lang w:val="fr-FR" w:eastAsia="fr-FR"/>
              </w:rPr>
              <w:t xml:space="preserve"> bowl 28cm</w:t>
            </w:r>
          </w:p>
        </w:tc>
        <w:tc>
          <w:tcPr>
            <w:tcW w:w="1134" w:type="dxa"/>
            <w:vAlign w:val="bottom"/>
          </w:tcPr>
          <w:p w14:paraId="4E95180A" w14:textId="3D2BBA01" w:rsidR="000A4198" w:rsidRPr="007E3830" w:rsidRDefault="000A4198" w:rsidP="000A4198">
            <w:pPr>
              <w:spacing w:after="0" w:line="240" w:lineRule="auto"/>
              <w:rPr>
                <w:rFonts w:ascii="Arial" w:eastAsia="Times New Roman" w:hAnsi="Arial" w:cs="Arial"/>
                <w:color w:val="000000"/>
                <w:sz w:val="20"/>
                <w:szCs w:val="20"/>
                <w:lang w:val="fr-FR" w:eastAsia="fr-FR"/>
              </w:rPr>
            </w:pPr>
            <w:r>
              <w:rPr>
                <w:rFonts w:ascii="Aptos Narrow" w:hAnsi="Aptos Narrow"/>
                <w:color w:val="000000"/>
              </w:rPr>
              <w:t>pieces</w:t>
            </w:r>
          </w:p>
        </w:tc>
        <w:tc>
          <w:tcPr>
            <w:tcW w:w="992" w:type="dxa"/>
          </w:tcPr>
          <w:p w14:paraId="074FB8A8" w14:textId="77777777" w:rsidR="000A4198" w:rsidRPr="007E3830" w:rsidRDefault="000A4198" w:rsidP="000A4198">
            <w:pPr>
              <w:spacing w:after="0" w:line="240" w:lineRule="auto"/>
              <w:rPr>
                <w:rFonts w:ascii="Arial" w:eastAsia="Times New Roman" w:hAnsi="Arial" w:cs="Arial"/>
                <w:color w:val="000000"/>
                <w:sz w:val="20"/>
                <w:szCs w:val="20"/>
                <w:lang w:val="fr-FR" w:eastAsia="fr-FR"/>
              </w:rPr>
            </w:pPr>
          </w:p>
        </w:tc>
        <w:tc>
          <w:tcPr>
            <w:tcW w:w="1418" w:type="dxa"/>
          </w:tcPr>
          <w:p w14:paraId="27653DF9" w14:textId="6B6A146A" w:rsidR="000A4198" w:rsidRPr="007E3830" w:rsidRDefault="00C44E9B" w:rsidP="000A4198">
            <w:pPr>
              <w:spacing w:after="0" w:line="240" w:lineRule="auto"/>
              <w:rPr>
                <w:rFonts w:ascii="Arial" w:eastAsia="Times New Roman" w:hAnsi="Arial" w:cs="Arial"/>
                <w:color w:val="000000"/>
                <w:sz w:val="20"/>
                <w:szCs w:val="20"/>
                <w:lang w:val="fr-FR" w:eastAsia="fr-FR"/>
              </w:rPr>
            </w:pPr>
            <w:r>
              <w:rPr>
                <w:rFonts w:ascii="Arial" w:eastAsia="Times New Roman" w:hAnsi="Arial" w:cs="Arial"/>
                <w:color w:val="000000"/>
                <w:sz w:val="20"/>
                <w:szCs w:val="20"/>
                <w:lang w:val="fr-FR" w:eastAsia="fr-FR"/>
              </w:rPr>
              <w:t>7000</w:t>
            </w:r>
          </w:p>
        </w:tc>
        <w:tc>
          <w:tcPr>
            <w:tcW w:w="1417" w:type="dxa"/>
          </w:tcPr>
          <w:p w14:paraId="29216E6C" w14:textId="77777777" w:rsidR="000A4198" w:rsidRPr="007E3830" w:rsidRDefault="000A4198" w:rsidP="000A4198">
            <w:pPr>
              <w:spacing w:after="0" w:line="240" w:lineRule="auto"/>
              <w:rPr>
                <w:rFonts w:ascii="Arial" w:eastAsia="Times New Roman" w:hAnsi="Arial" w:cs="Arial"/>
                <w:color w:val="000000"/>
                <w:sz w:val="20"/>
                <w:szCs w:val="20"/>
                <w:lang w:val="fr-FR" w:eastAsia="fr-FR"/>
              </w:rPr>
            </w:pPr>
          </w:p>
        </w:tc>
      </w:tr>
      <w:tr w:rsidR="000A4198" w:rsidRPr="007E3830" w14:paraId="77212687" w14:textId="4D621659" w:rsidTr="00FE684E">
        <w:trPr>
          <w:trHeight w:val="285"/>
        </w:trPr>
        <w:tc>
          <w:tcPr>
            <w:tcW w:w="2967" w:type="dxa"/>
            <w:shd w:val="clear" w:color="000000" w:fill="FFFFFF"/>
            <w:vAlign w:val="bottom"/>
            <w:hideMark/>
          </w:tcPr>
          <w:p w14:paraId="75E541FB" w14:textId="77777777" w:rsidR="000A4198" w:rsidRPr="007E3830" w:rsidRDefault="000A4198" w:rsidP="000A4198">
            <w:pPr>
              <w:spacing w:after="0" w:line="240" w:lineRule="auto"/>
              <w:rPr>
                <w:rFonts w:ascii="Arial" w:eastAsia="Times New Roman" w:hAnsi="Arial" w:cs="Arial"/>
                <w:color w:val="000000"/>
                <w:sz w:val="20"/>
                <w:szCs w:val="20"/>
                <w:lang w:val="fr-FR" w:eastAsia="fr-FR"/>
              </w:rPr>
            </w:pPr>
            <w:r w:rsidRPr="007E3830">
              <w:rPr>
                <w:rFonts w:ascii="Arial" w:eastAsia="Times New Roman" w:hAnsi="Arial" w:cs="Arial"/>
                <w:color w:val="000000"/>
                <w:sz w:val="20"/>
                <w:szCs w:val="20"/>
                <w:lang w:val="fr-FR" w:eastAsia="fr-FR"/>
              </w:rPr>
              <w:t xml:space="preserve">Stainless </w:t>
            </w:r>
            <w:proofErr w:type="spellStart"/>
            <w:r w:rsidRPr="007E3830">
              <w:rPr>
                <w:rFonts w:ascii="Arial" w:eastAsia="Times New Roman" w:hAnsi="Arial" w:cs="Arial"/>
                <w:color w:val="000000"/>
                <w:sz w:val="20"/>
                <w:szCs w:val="20"/>
                <w:lang w:val="fr-FR" w:eastAsia="fr-FR"/>
              </w:rPr>
              <w:t>steel</w:t>
            </w:r>
            <w:proofErr w:type="spellEnd"/>
            <w:r w:rsidRPr="007E3830">
              <w:rPr>
                <w:rFonts w:ascii="Arial" w:eastAsia="Times New Roman" w:hAnsi="Arial" w:cs="Arial"/>
                <w:color w:val="000000"/>
                <w:sz w:val="20"/>
                <w:szCs w:val="20"/>
                <w:lang w:val="fr-FR" w:eastAsia="fr-FR"/>
              </w:rPr>
              <w:t xml:space="preserve"> bowl 22cm</w:t>
            </w:r>
          </w:p>
        </w:tc>
        <w:tc>
          <w:tcPr>
            <w:tcW w:w="1134" w:type="dxa"/>
            <w:vAlign w:val="bottom"/>
          </w:tcPr>
          <w:p w14:paraId="25C36B2B" w14:textId="518B7CEC" w:rsidR="000A4198" w:rsidRPr="007E3830" w:rsidRDefault="000A4198" w:rsidP="000A4198">
            <w:pPr>
              <w:spacing w:after="0" w:line="240" w:lineRule="auto"/>
              <w:rPr>
                <w:rFonts w:ascii="Arial" w:eastAsia="Times New Roman" w:hAnsi="Arial" w:cs="Arial"/>
                <w:color w:val="000000"/>
                <w:sz w:val="20"/>
                <w:szCs w:val="20"/>
                <w:lang w:val="fr-FR" w:eastAsia="fr-FR"/>
              </w:rPr>
            </w:pPr>
            <w:r>
              <w:rPr>
                <w:rFonts w:ascii="Aptos Narrow" w:hAnsi="Aptos Narrow"/>
                <w:color w:val="000000"/>
              </w:rPr>
              <w:t>pieces</w:t>
            </w:r>
          </w:p>
        </w:tc>
        <w:tc>
          <w:tcPr>
            <w:tcW w:w="992" w:type="dxa"/>
          </w:tcPr>
          <w:p w14:paraId="1D25FE79" w14:textId="77777777" w:rsidR="000A4198" w:rsidRPr="007E3830" w:rsidRDefault="000A4198" w:rsidP="000A4198">
            <w:pPr>
              <w:spacing w:after="0" w:line="240" w:lineRule="auto"/>
              <w:rPr>
                <w:rFonts w:ascii="Arial" w:eastAsia="Times New Roman" w:hAnsi="Arial" w:cs="Arial"/>
                <w:color w:val="000000"/>
                <w:sz w:val="20"/>
                <w:szCs w:val="20"/>
                <w:lang w:val="fr-FR" w:eastAsia="fr-FR"/>
              </w:rPr>
            </w:pPr>
          </w:p>
        </w:tc>
        <w:tc>
          <w:tcPr>
            <w:tcW w:w="1418" w:type="dxa"/>
          </w:tcPr>
          <w:p w14:paraId="302F2808" w14:textId="40C28EAC" w:rsidR="000A4198" w:rsidRPr="007E3830" w:rsidRDefault="00C44E9B" w:rsidP="000A4198">
            <w:pPr>
              <w:spacing w:after="0" w:line="240" w:lineRule="auto"/>
              <w:rPr>
                <w:rFonts w:ascii="Arial" w:eastAsia="Times New Roman" w:hAnsi="Arial" w:cs="Arial"/>
                <w:color w:val="000000"/>
                <w:sz w:val="20"/>
                <w:szCs w:val="20"/>
                <w:lang w:val="fr-FR" w:eastAsia="fr-FR"/>
              </w:rPr>
            </w:pPr>
            <w:r>
              <w:rPr>
                <w:rFonts w:ascii="Arial" w:eastAsia="Times New Roman" w:hAnsi="Arial" w:cs="Arial"/>
                <w:color w:val="000000"/>
                <w:sz w:val="20"/>
                <w:szCs w:val="20"/>
                <w:lang w:val="fr-FR" w:eastAsia="fr-FR"/>
              </w:rPr>
              <w:t>21000</w:t>
            </w:r>
          </w:p>
        </w:tc>
        <w:tc>
          <w:tcPr>
            <w:tcW w:w="1417" w:type="dxa"/>
          </w:tcPr>
          <w:p w14:paraId="47003FDB" w14:textId="77777777" w:rsidR="000A4198" w:rsidRPr="007E3830" w:rsidRDefault="000A4198" w:rsidP="000A4198">
            <w:pPr>
              <w:spacing w:after="0" w:line="240" w:lineRule="auto"/>
              <w:rPr>
                <w:rFonts w:ascii="Arial" w:eastAsia="Times New Roman" w:hAnsi="Arial" w:cs="Arial"/>
                <w:color w:val="000000"/>
                <w:sz w:val="20"/>
                <w:szCs w:val="20"/>
                <w:lang w:val="fr-FR" w:eastAsia="fr-FR"/>
              </w:rPr>
            </w:pPr>
          </w:p>
        </w:tc>
      </w:tr>
      <w:tr w:rsidR="000A4198" w:rsidRPr="007E3830" w14:paraId="3F059E65" w14:textId="05DE7264" w:rsidTr="00FE684E">
        <w:trPr>
          <w:trHeight w:val="285"/>
        </w:trPr>
        <w:tc>
          <w:tcPr>
            <w:tcW w:w="2967" w:type="dxa"/>
            <w:shd w:val="clear" w:color="000000" w:fill="FFFFFF"/>
            <w:vAlign w:val="bottom"/>
            <w:hideMark/>
          </w:tcPr>
          <w:p w14:paraId="4DCFFC0F" w14:textId="77777777" w:rsidR="000A4198" w:rsidRPr="007E3830" w:rsidRDefault="000A4198" w:rsidP="000A4198">
            <w:pPr>
              <w:spacing w:after="0" w:line="240" w:lineRule="auto"/>
              <w:rPr>
                <w:rFonts w:ascii="Arial" w:eastAsia="Times New Roman" w:hAnsi="Arial" w:cs="Arial"/>
                <w:color w:val="000000"/>
                <w:sz w:val="20"/>
                <w:szCs w:val="20"/>
                <w:lang w:val="fr-FR" w:eastAsia="fr-FR"/>
              </w:rPr>
            </w:pPr>
            <w:r w:rsidRPr="007E3830">
              <w:rPr>
                <w:rFonts w:ascii="Arial" w:eastAsia="Times New Roman" w:hAnsi="Arial" w:cs="Arial"/>
                <w:color w:val="000000"/>
                <w:sz w:val="20"/>
                <w:szCs w:val="20"/>
                <w:lang w:val="fr-FR" w:eastAsia="fr-FR"/>
              </w:rPr>
              <w:t xml:space="preserve">Stainless </w:t>
            </w:r>
            <w:proofErr w:type="spellStart"/>
            <w:r w:rsidRPr="007E3830">
              <w:rPr>
                <w:rFonts w:ascii="Arial" w:eastAsia="Times New Roman" w:hAnsi="Arial" w:cs="Arial"/>
                <w:color w:val="000000"/>
                <w:sz w:val="20"/>
                <w:szCs w:val="20"/>
                <w:lang w:val="fr-FR" w:eastAsia="fr-FR"/>
              </w:rPr>
              <w:t>steel</w:t>
            </w:r>
            <w:proofErr w:type="spellEnd"/>
            <w:r w:rsidRPr="007E3830">
              <w:rPr>
                <w:rFonts w:ascii="Arial" w:eastAsia="Times New Roman" w:hAnsi="Arial" w:cs="Arial"/>
                <w:color w:val="000000"/>
                <w:sz w:val="20"/>
                <w:szCs w:val="20"/>
                <w:lang w:val="fr-FR" w:eastAsia="fr-FR"/>
              </w:rPr>
              <w:t xml:space="preserve"> spoontable,10mm</w:t>
            </w:r>
          </w:p>
        </w:tc>
        <w:tc>
          <w:tcPr>
            <w:tcW w:w="1134" w:type="dxa"/>
            <w:vAlign w:val="bottom"/>
          </w:tcPr>
          <w:p w14:paraId="784DA040" w14:textId="6F444B4A" w:rsidR="000A4198" w:rsidRPr="007E3830" w:rsidRDefault="000A4198" w:rsidP="000A4198">
            <w:pPr>
              <w:spacing w:after="0" w:line="240" w:lineRule="auto"/>
              <w:rPr>
                <w:rFonts w:ascii="Arial" w:eastAsia="Times New Roman" w:hAnsi="Arial" w:cs="Arial"/>
                <w:color w:val="000000"/>
                <w:sz w:val="20"/>
                <w:szCs w:val="20"/>
                <w:lang w:val="fr-FR" w:eastAsia="fr-FR"/>
              </w:rPr>
            </w:pPr>
            <w:r>
              <w:rPr>
                <w:rFonts w:ascii="Aptos Narrow" w:hAnsi="Aptos Narrow"/>
                <w:color w:val="000000"/>
              </w:rPr>
              <w:t>pieces</w:t>
            </w:r>
          </w:p>
        </w:tc>
        <w:tc>
          <w:tcPr>
            <w:tcW w:w="992" w:type="dxa"/>
          </w:tcPr>
          <w:p w14:paraId="3A56E0A9" w14:textId="77777777" w:rsidR="000A4198" w:rsidRPr="007E3830" w:rsidRDefault="000A4198" w:rsidP="000A4198">
            <w:pPr>
              <w:spacing w:after="0" w:line="240" w:lineRule="auto"/>
              <w:rPr>
                <w:rFonts w:ascii="Arial" w:eastAsia="Times New Roman" w:hAnsi="Arial" w:cs="Arial"/>
                <w:color w:val="000000"/>
                <w:sz w:val="20"/>
                <w:szCs w:val="20"/>
                <w:lang w:val="fr-FR" w:eastAsia="fr-FR"/>
              </w:rPr>
            </w:pPr>
          </w:p>
        </w:tc>
        <w:tc>
          <w:tcPr>
            <w:tcW w:w="1418" w:type="dxa"/>
          </w:tcPr>
          <w:p w14:paraId="58217061" w14:textId="6B49DA15" w:rsidR="000A4198" w:rsidRPr="007E3830" w:rsidRDefault="00C460D1" w:rsidP="000A4198">
            <w:pPr>
              <w:spacing w:after="0" w:line="240" w:lineRule="auto"/>
              <w:rPr>
                <w:rFonts w:ascii="Arial" w:eastAsia="Times New Roman" w:hAnsi="Arial" w:cs="Arial"/>
                <w:color w:val="000000"/>
                <w:sz w:val="20"/>
                <w:szCs w:val="20"/>
                <w:lang w:val="fr-FR" w:eastAsia="fr-FR"/>
              </w:rPr>
            </w:pPr>
            <w:r>
              <w:rPr>
                <w:rFonts w:ascii="Arial" w:eastAsia="Times New Roman" w:hAnsi="Arial" w:cs="Arial"/>
                <w:color w:val="000000"/>
                <w:sz w:val="20"/>
                <w:szCs w:val="20"/>
                <w:lang w:val="fr-FR" w:eastAsia="fr-FR"/>
              </w:rPr>
              <w:t>35000</w:t>
            </w:r>
          </w:p>
        </w:tc>
        <w:tc>
          <w:tcPr>
            <w:tcW w:w="1417" w:type="dxa"/>
          </w:tcPr>
          <w:p w14:paraId="41D71F93" w14:textId="77777777" w:rsidR="000A4198" w:rsidRPr="007E3830" w:rsidRDefault="000A4198" w:rsidP="000A4198">
            <w:pPr>
              <w:spacing w:after="0" w:line="240" w:lineRule="auto"/>
              <w:rPr>
                <w:rFonts w:ascii="Arial" w:eastAsia="Times New Roman" w:hAnsi="Arial" w:cs="Arial"/>
                <w:color w:val="000000"/>
                <w:sz w:val="20"/>
                <w:szCs w:val="20"/>
                <w:lang w:val="fr-FR" w:eastAsia="fr-FR"/>
              </w:rPr>
            </w:pPr>
          </w:p>
        </w:tc>
      </w:tr>
      <w:tr w:rsidR="000A4198" w:rsidRPr="007E3830" w14:paraId="1F32E809" w14:textId="1647CC64" w:rsidTr="00FE684E">
        <w:trPr>
          <w:trHeight w:val="285"/>
        </w:trPr>
        <w:tc>
          <w:tcPr>
            <w:tcW w:w="2967" w:type="dxa"/>
            <w:shd w:val="clear" w:color="000000" w:fill="FFFFFF"/>
            <w:vAlign w:val="bottom"/>
            <w:hideMark/>
          </w:tcPr>
          <w:p w14:paraId="559A6574" w14:textId="77777777" w:rsidR="000A4198" w:rsidRPr="007E3830" w:rsidRDefault="000A4198" w:rsidP="000A4198">
            <w:pPr>
              <w:spacing w:after="0" w:line="240" w:lineRule="auto"/>
              <w:rPr>
                <w:rFonts w:ascii="Arial" w:eastAsia="Times New Roman" w:hAnsi="Arial" w:cs="Arial"/>
                <w:color w:val="000000"/>
                <w:sz w:val="20"/>
                <w:szCs w:val="20"/>
                <w:lang w:eastAsia="fr-FR"/>
              </w:rPr>
            </w:pPr>
            <w:r w:rsidRPr="007E3830">
              <w:rPr>
                <w:rFonts w:ascii="Arial" w:eastAsia="Times New Roman" w:hAnsi="Arial" w:cs="Arial"/>
                <w:color w:val="000000"/>
                <w:sz w:val="20"/>
                <w:szCs w:val="20"/>
                <w:lang w:eastAsia="fr-FR"/>
              </w:rPr>
              <w:t>Knife, kitchen, stainless steel blade 15cm, plastic handle</w:t>
            </w:r>
          </w:p>
        </w:tc>
        <w:tc>
          <w:tcPr>
            <w:tcW w:w="1134" w:type="dxa"/>
            <w:vAlign w:val="bottom"/>
          </w:tcPr>
          <w:p w14:paraId="1599564F" w14:textId="2A0942C1" w:rsidR="000A4198" w:rsidRPr="007E3830" w:rsidRDefault="000A4198" w:rsidP="000A4198">
            <w:pPr>
              <w:spacing w:after="0" w:line="240" w:lineRule="auto"/>
              <w:rPr>
                <w:rFonts w:ascii="Arial" w:eastAsia="Times New Roman" w:hAnsi="Arial" w:cs="Arial"/>
                <w:color w:val="000000"/>
                <w:sz w:val="20"/>
                <w:szCs w:val="20"/>
                <w:lang w:eastAsia="fr-FR"/>
              </w:rPr>
            </w:pPr>
            <w:r>
              <w:rPr>
                <w:rFonts w:ascii="Aptos Narrow" w:hAnsi="Aptos Narrow"/>
                <w:color w:val="000000"/>
              </w:rPr>
              <w:t>pieces</w:t>
            </w:r>
          </w:p>
        </w:tc>
        <w:tc>
          <w:tcPr>
            <w:tcW w:w="992" w:type="dxa"/>
          </w:tcPr>
          <w:p w14:paraId="6C95567D" w14:textId="77777777" w:rsidR="000A4198" w:rsidRPr="007E3830" w:rsidRDefault="000A4198" w:rsidP="000A4198">
            <w:pPr>
              <w:spacing w:after="0" w:line="240" w:lineRule="auto"/>
              <w:rPr>
                <w:rFonts w:ascii="Arial" w:eastAsia="Times New Roman" w:hAnsi="Arial" w:cs="Arial"/>
                <w:color w:val="000000"/>
                <w:sz w:val="20"/>
                <w:szCs w:val="20"/>
                <w:lang w:eastAsia="fr-FR"/>
              </w:rPr>
            </w:pPr>
          </w:p>
        </w:tc>
        <w:tc>
          <w:tcPr>
            <w:tcW w:w="1418" w:type="dxa"/>
          </w:tcPr>
          <w:p w14:paraId="67E73BE4" w14:textId="33BC31A1" w:rsidR="000A4198" w:rsidRPr="007E3830" w:rsidRDefault="005719E2" w:rsidP="000A4198">
            <w:p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7000</w:t>
            </w:r>
          </w:p>
        </w:tc>
        <w:tc>
          <w:tcPr>
            <w:tcW w:w="1417" w:type="dxa"/>
          </w:tcPr>
          <w:p w14:paraId="5B78C908" w14:textId="77777777" w:rsidR="000A4198" w:rsidRPr="007E3830" w:rsidRDefault="000A4198" w:rsidP="000A4198">
            <w:pPr>
              <w:spacing w:after="0" w:line="240" w:lineRule="auto"/>
              <w:rPr>
                <w:rFonts w:ascii="Arial" w:eastAsia="Times New Roman" w:hAnsi="Arial" w:cs="Arial"/>
                <w:color w:val="000000"/>
                <w:sz w:val="20"/>
                <w:szCs w:val="20"/>
                <w:lang w:eastAsia="fr-FR"/>
              </w:rPr>
            </w:pPr>
          </w:p>
        </w:tc>
      </w:tr>
      <w:tr w:rsidR="000A4198" w:rsidRPr="007E3830" w14:paraId="35E3A02A" w14:textId="27848F1F" w:rsidTr="00FE684E">
        <w:trPr>
          <w:trHeight w:val="285"/>
        </w:trPr>
        <w:tc>
          <w:tcPr>
            <w:tcW w:w="2967" w:type="dxa"/>
            <w:shd w:val="clear" w:color="000000" w:fill="FFFFFF"/>
            <w:vAlign w:val="bottom"/>
            <w:hideMark/>
          </w:tcPr>
          <w:p w14:paraId="7EFC7363" w14:textId="77777777" w:rsidR="000A4198" w:rsidRPr="007E3830" w:rsidRDefault="000A4198" w:rsidP="000A4198">
            <w:pPr>
              <w:spacing w:after="0" w:line="240" w:lineRule="auto"/>
              <w:rPr>
                <w:rFonts w:ascii="Arial" w:eastAsia="Times New Roman" w:hAnsi="Arial" w:cs="Arial"/>
                <w:color w:val="000000"/>
                <w:sz w:val="20"/>
                <w:szCs w:val="20"/>
                <w:lang w:eastAsia="fr-FR"/>
              </w:rPr>
            </w:pPr>
            <w:r w:rsidRPr="007E3830">
              <w:rPr>
                <w:rFonts w:ascii="Arial" w:eastAsia="Times New Roman" w:hAnsi="Arial" w:cs="Arial"/>
                <w:color w:val="000000"/>
                <w:sz w:val="20"/>
                <w:szCs w:val="20"/>
                <w:lang w:eastAsia="fr-FR"/>
              </w:rPr>
              <w:lastRenderedPageBreak/>
              <w:t xml:space="preserve">Cooking pot 5 liter with </w:t>
            </w:r>
            <w:proofErr w:type="spellStart"/>
            <w:r w:rsidRPr="007E3830">
              <w:rPr>
                <w:rFonts w:ascii="Arial" w:eastAsia="Times New Roman" w:hAnsi="Arial" w:cs="Arial"/>
                <w:color w:val="000000"/>
                <w:sz w:val="20"/>
                <w:szCs w:val="20"/>
                <w:lang w:eastAsia="fr-FR"/>
              </w:rPr>
              <w:t>lid,diam</w:t>
            </w:r>
            <w:proofErr w:type="spellEnd"/>
            <w:r w:rsidRPr="007E3830">
              <w:rPr>
                <w:rFonts w:ascii="Arial" w:eastAsia="Times New Roman" w:hAnsi="Arial" w:cs="Arial"/>
                <w:color w:val="000000"/>
                <w:sz w:val="20"/>
                <w:szCs w:val="20"/>
                <w:lang w:eastAsia="fr-FR"/>
              </w:rPr>
              <w:t xml:space="preserve"> 22cm</w:t>
            </w:r>
          </w:p>
        </w:tc>
        <w:tc>
          <w:tcPr>
            <w:tcW w:w="1134" w:type="dxa"/>
            <w:vAlign w:val="bottom"/>
          </w:tcPr>
          <w:p w14:paraId="7808A195" w14:textId="4052BD1B" w:rsidR="000A4198" w:rsidRPr="007E3830" w:rsidRDefault="000A4198" w:rsidP="000A4198">
            <w:pPr>
              <w:spacing w:after="0" w:line="240" w:lineRule="auto"/>
              <w:rPr>
                <w:rFonts w:ascii="Arial" w:eastAsia="Times New Roman" w:hAnsi="Arial" w:cs="Arial"/>
                <w:color w:val="000000"/>
                <w:sz w:val="20"/>
                <w:szCs w:val="20"/>
                <w:lang w:eastAsia="fr-FR"/>
              </w:rPr>
            </w:pPr>
            <w:r>
              <w:rPr>
                <w:rFonts w:ascii="Aptos Narrow" w:hAnsi="Aptos Narrow"/>
                <w:color w:val="000000"/>
              </w:rPr>
              <w:t>pieces</w:t>
            </w:r>
          </w:p>
        </w:tc>
        <w:tc>
          <w:tcPr>
            <w:tcW w:w="992" w:type="dxa"/>
          </w:tcPr>
          <w:p w14:paraId="6BD926CD" w14:textId="77777777" w:rsidR="000A4198" w:rsidRPr="007E3830" w:rsidRDefault="000A4198" w:rsidP="000A4198">
            <w:pPr>
              <w:spacing w:after="0" w:line="240" w:lineRule="auto"/>
              <w:rPr>
                <w:rFonts w:ascii="Arial" w:eastAsia="Times New Roman" w:hAnsi="Arial" w:cs="Arial"/>
                <w:color w:val="000000"/>
                <w:sz w:val="20"/>
                <w:szCs w:val="20"/>
                <w:lang w:eastAsia="fr-FR"/>
              </w:rPr>
            </w:pPr>
          </w:p>
        </w:tc>
        <w:tc>
          <w:tcPr>
            <w:tcW w:w="1418" w:type="dxa"/>
          </w:tcPr>
          <w:p w14:paraId="55B86E5D" w14:textId="227EB19B" w:rsidR="000A4198" w:rsidRPr="007E3830" w:rsidRDefault="005719E2" w:rsidP="000A4198">
            <w:p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7000</w:t>
            </w:r>
          </w:p>
        </w:tc>
        <w:tc>
          <w:tcPr>
            <w:tcW w:w="1417" w:type="dxa"/>
          </w:tcPr>
          <w:p w14:paraId="2373734D" w14:textId="77777777" w:rsidR="000A4198" w:rsidRPr="007E3830" w:rsidRDefault="000A4198" w:rsidP="000A4198">
            <w:pPr>
              <w:spacing w:after="0" w:line="240" w:lineRule="auto"/>
              <w:rPr>
                <w:rFonts w:ascii="Arial" w:eastAsia="Times New Roman" w:hAnsi="Arial" w:cs="Arial"/>
                <w:color w:val="000000"/>
                <w:sz w:val="20"/>
                <w:szCs w:val="20"/>
                <w:lang w:eastAsia="fr-FR"/>
              </w:rPr>
            </w:pPr>
          </w:p>
        </w:tc>
      </w:tr>
      <w:tr w:rsidR="000A4198" w:rsidRPr="007E3830" w14:paraId="05AC1E23" w14:textId="30C5C95A" w:rsidTr="00FE684E">
        <w:trPr>
          <w:trHeight w:val="285"/>
        </w:trPr>
        <w:tc>
          <w:tcPr>
            <w:tcW w:w="2967" w:type="dxa"/>
            <w:shd w:val="clear" w:color="000000" w:fill="FFFFFF"/>
            <w:vAlign w:val="bottom"/>
            <w:hideMark/>
          </w:tcPr>
          <w:p w14:paraId="78844731" w14:textId="77777777" w:rsidR="000A4198" w:rsidRPr="007E3830" w:rsidRDefault="000A4198" w:rsidP="000A4198">
            <w:pPr>
              <w:spacing w:after="0" w:line="240" w:lineRule="auto"/>
              <w:rPr>
                <w:rFonts w:ascii="Arial" w:eastAsia="Times New Roman" w:hAnsi="Arial" w:cs="Arial"/>
                <w:color w:val="000000"/>
                <w:sz w:val="20"/>
                <w:szCs w:val="20"/>
                <w:lang w:eastAsia="fr-FR"/>
              </w:rPr>
            </w:pPr>
            <w:r w:rsidRPr="007E3830">
              <w:rPr>
                <w:rFonts w:ascii="Arial" w:eastAsia="Times New Roman" w:hAnsi="Arial" w:cs="Arial"/>
                <w:color w:val="000000"/>
                <w:sz w:val="20"/>
                <w:szCs w:val="20"/>
                <w:lang w:eastAsia="fr-FR"/>
              </w:rPr>
              <w:t xml:space="preserve">Cooking pot 7 liters with </w:t>
            </w:r>
            <w:proofErr w:type="spellStart"/>
            <w:r w:rsidRPr="007E3830">
              <w:rPr>
                <w:rFonts w:ascii="Arial" w:eastAsia="Times New Roman" w:hAnsi="Arial" w:cs="Arial"/>
                <w:color w:val="000000"/>
                <w:sz w:val="20"/>
                <w:szCs w:val="20"/>
                <w:lang w:eastAsia="fr-FR"/>
              </w:rPr>
              <w:t>lid,diam</w:t>
            </w:r>
            <w:proofErr w:type="spellEnd"/>
            <w:r w:rsidRPr="007E3830">
              <w:rPr>
                <w:rFonts w:ascii="Arial" w:eastAsia="Times New Roman" w:hAnsi="Arial" w:cs="Arial"/>
                <w:color w:val="000000"/>
                <w:sz w:val="20"/>
                <w:szCs w:val="20"/>
                <w:lang w:eastAsia="fr-FR"/>
              </w:rPr>
              <w:t xml:space="preserve"> 25cm</w:t>
            </w:r>
          </w:p>
        </w:tc>
        <w:tc>
          <w:tcPr>
            <w:tcW w:w="1134" w:type="dxa"/>
            <w:vAlign w:val="bottom"/>
          </w:tcPr>
          <w:p w14:paraId="51DACCC0" w14:textId="412D8A3A" w:rsidR="000A4198" w:rsidRPr="007E3830" w:rsidRDefault="000A4198" w:rsidP="000A4198">
            <w:pPr>
              <w:spacing w:after="0" w:line="240" w:lineRule="auto"/>
              <w:rPr>
                <w:rFonts w:ascii="Arial" w:eastAsia="Times New Roman" w:hAnsi="Arial" w:cs="Arial"/>
                <w:color w:val="000000"/>
                <w:sz w:val="20"/>
                <w:szCs w:val="20"/>
                <w:lang w:eastAsia="fr-FR"/>
              </w:rPr>
            </w:pPr>
            <w:r>
              <w:rPr>
                <w:rFonts w:ascii="Aptos Narrow" w:hAnsi="Aptos Narrow"/>
                <w:color w:val="000000"/>
              </w:rPr>
              <w:t>pieces</w:t>
            </w:r>
          </w:p>
        </w:tc>
        <w:tc>
          <w:tcPr>
            <w:tcW w:w="992" w:type="dxa"/>
          </w:tcPr>
          <w:p w14:paraId="354B9412" w14:textId="77777777" w:rsidR="000A4198" w:rsidRPr="007E3830" w:rsidRDefault="000A4198" w:rsidP="000A4198">
            <w:pPr>
              <w:spacing w:after="0" w:line="240" w:lineRule="auto"/>
              <w:rPr>
                <w:rFonts w:ascii="Arial" w:eastAsia="Times New Roman" w:hAnsi="Arial" w:cs="Arial"/>
                <w:color w:val="000000"/>
                <w:sz w:val="20"/>
                <w:szCs w:val="20"/>
                <w:lang w:eastAsia="fr-FR"/>
              </w:rPr>
            </w:pPr>
          </w:p>
        </w:tc>
        <w:tc>
          <w:tcPr>
            <w:tcW w:w="1418" w:type="dxa"/>
          </w:tcPr>
          <w:p w14:paraId="45794ED5" w14:textId="06D61710" w:rsidR="000A4198" w:rsidRPr="007E3830" w:rsidRDefault="005719E2" w:rsidP="000A4198">
            <w:p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7000</w:t>
            </w:r>
          </w:p>
        </w:tc>
        <w:tc>
          <w:tcPr>
            <w:tcW w:w="1417" w:type="dxa"/>
          </w:tcPr>
          <w:p w14:paraId="2ECA61D4" w14:textId="77777777" w:rsidR="000A4198" w:rsidRPr="007E3830" w:rsidRDefault="000A4198" w:rsidP="000A4198">
            <w:pPr>
              <w:spacing w:after="0" w:line="240" w:lineRule="auto"/>
              <w:rPr>
                <w:rFonts w:ascii="Arial" w:eastAsia="Times New Roman" w:hAnsi="Arial" w:cs="Arial"/>
                <w:color w:val="000000"/>
                <w:sz w:val="20"/>
                <w:szCs w:val="20"/>
                <w:lang w:eastAsia="fr-FR"/>
              </w:rPr>
            </w:pPr>
          </w:p>
        </w:tc>
      </w:tr>
      <w:tr w:rsidR="000A4198" w:rsidRPr="007E3830" w14:paraId="02B7A283" w14:textId="4A995E4F" w:rsidTr="00FE684E">
        <w:trPr>
          <w:trHeight w:val="285"/>
        </w:trPr>
        <w:tc>
          <w:tcPr>
            <w:tcW w:w="2967" w:type="dxa"/>
            <w:shd w:val="clear" w:color="000000" w:fill="FFFFFF"/>
            <w:vAlign w:val="bottom"/>
            <w:hideMark/>
          </w:tcPr>
          <w:p w14:paraId="370CD798" w14:textId="77777777" w:rsidR="000A4198" w:rsidRPr="007E3830" w:rsidRDefault="000A4198" w:rsidP="000A4198">
            <w:pPr>
              <w:spacing w:after="0" w:line="240" w:lineRule="auto"/>
              <w:rPr>
                <w:rFonts w:ascii="Arial" w:eastAsia="Times New Roman" w:hAnsi="Arial" w:cs="Arial"/>
                <w:color w:val="000000"/>
                <w:sz w:val="20"/>
                <w:szCs w:val="20"/>
                <w:lang w:eastAsia="fr-FR"/>
              </w:rPr>
            </w:pPr>
            <w:r w:rsidRPr="007E3830">
              <w:rPr>
                <w:rFonts w:ascii="Arial" w:eastAsia="Times New Roman" w:hAnsi="Arial" w:cs="Arial"/>
                <w:color w:val="000000"/>
                <w:sz w:val="20"/>
                <w:szCs w:val="20"/>
                <w:lang w:eastAsia="fr-FR"/>
              </w:rPr>
              <w:t>Cup, stainless steel, with handle, 350ml</w:t>
            </w:r>
          </w:p>
        </w:tc>
        <w:tc>
          <w:tcPr>
            <w:tcW w:w="1134" w:type="dxa"/>
            <w:vAlign w:val="bottom"/>
          </w:tcPr>
          <w:p w14:paraId="5CEA14B3" w14:textId="0B1CAF9C" w:rsidR="000A4198" w:rsidRPr="007E3830" w:rsidRDefault="000A4198" w:rsidP="000A4198">
            <w:pPr>
              <w:spacing w:after="0" w:line="240" w:lineRule="auto"/>
              <w:rPr>
                <w:rFonts w:ascii="Arial" w:eastAsia="Times New Roman" w:hAnsi="Arial" w:cs="Arial"/>
                <w:color w:val="000000"/>
                <w:sz w:val="20"/>
                <w:szCs w:val="20"/>
                <w:lang w:eastAsia="fr-FR"/>
              </w:rPr>
            </w:pPr>
            <w:r>
              <w:rPr>
                <w:rFonts w:ascii="Aptos Narrow" w:hAnsi="Aptos Narrow"/>
                <w:color w:val="000000"/>
              </w:rPr>
              <w:t>pieces</w:t>
            </w:r>
          </w:p>
        </w:tc>
        <w:tc>
          <w:tcPr>
            <w:tcW w:w="992" w:type="dxa"/>
          </w:tcPr>
          <w:p w14:paraId="52F7790D" w14:textId="77777777" w:rsidR="000A4198" w:rsidRPr="007E3830" w:rsidRDefault="000A4198" w:rsidP="000A4198">
            <w:pPr>
              <w:spacing w:after="0" w:line="240" w:lineRule="auto"/>
              <w:rPr>
                <w:rFonts w:ascii="Arial" w:eastAsia="Times New Roman" w:hAnsi="Arial" w:cs="Arial"/>
                <w:color w:val="000000"/>
                <w:sz w:val="20"/>
                <w:szCs w:val="20"/>
                <w:lang w:eastAsia="fr-FR"/>
              </w:rPr>
            </w:pPr>
          </w:p>
        </w:tc>
        <w:tc>
          <w:tcPr>
            <w:tcW w:w="1418" w:type="dxa"/>
          </w:tcPr>
          <w:p w14:paraId="335CE276" w14:textId="611F7E82" w:rsidR="000A4198" w:rsidRPr="007E3830" w:rsidRDefault="005719E2" w:rsidP="000A4198">
            <w:p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35000</w:t>
            </w:r>
          </w:p>
        </w:tc>
        <w:tc>
          <w:tcPr>
            <w:tcW w:w="1417" w:type="dxa"/>
          </w:tcPr>
          <w:p w14:paraId="78C3D38A" w14:textId="77777777" w:rsidR="000A4198" w:rsidRPr="007E3830" w:rsidRDefault="000A4198" w:rsidP="000A4198">
            <w:pPr>
              <w:spacing w:after="0" w:line="240" w:lineRule="auto"/>
              <w:rPr>
                <w:rFonts w:ascii="Arial" w:eastAsia="Times New Roman" w:hAnsi="Arial" w:cs="Arial"/>
                <w:color w:val="000000"/>
                <w:sz w:val="20"/>
                <w:szCs w:val="20"/>
                <w:lang w:eastAsia="fr-FR"/>
              </w:rPr>
            </w:pPr>
          </w:p>
        </w:tc>
      </w:tr>
      <w:tr w:rsidR="000A4198" w:rsidRPr="007E3830" w14:paraId="54543AF0" w14:textId="797373EC" w:rsidTr="00FE684E">
        <w:trPr>
          <w:trHeight w:val="285"/>
        </w:trPr>
        <w:tc>
          <w:tcPr>
            <w:tcW w:w="2967" w:type="dxa"/>
            <w:shd w:val="clear" w:color="000000" w:fill="FFFFFF"/>
            <w:vAlign w:val="bottom"/>
            <w:hideMark/>
          </w:tcPr>
          <w:p w14:paraId="59E22938" w14:textId="77777777" w:rsidR="000A4198" w:rsidRPr="007E3830" w:rsidRDefault="000A4198" w:rsidP="000A4198">
            <w:pPr>
              <w:spacing w:after="0" w:line="240" w:lineRule="auto"/>
              <w:rPr>
                <w:rFonts w:ascii="Arial" w:eastAsia="Times New Roman" w:hAnsi="Arial" w:cs="Arial"/>
                <w:color w:val="000000"/>
                <w:sz w:val="20"/>
                <w:szCs w:val="20"/>
                <w:lang w:eastAsia="fr-FR"/>
              </w:rPr>
            </w:pPr>
            <w:r w:rsidRPr="007E3830">
              <w:rPr>
                <w:rFonts w:ascii="Arial" w:eastAsia="Times New Roman" w:hAnsi="Arial" w:cs="Arial"/>
                <w:color w:val="000000"/>
                <w:sz w:val="20"/>
                <w:szCs w:val="20"/>
                <w:lang w:eastAsia="fr-FR"/>
              </w:rPr>
              <w:t>Kitchen serving ladle, 100 ml stainless steel</w:t>
            </w:r>
          </w:p>
        </w:tc>
        <w:tc>
          <w:tcPr>
            <w:tcW w:w="1134" w:type="dxa"/>
            <w:vAlign w:val="bottom"/>
          </w:tcPr>
          <w:p w14:paraId="2A7BE4E1" w14:textId="6689B3A9" w:rsidR="000A4198" w:rsidRPr="007E3830" w:rsidRDefault="000A4198" w:rsidP="000A4198">
            <w:pPr>
              <w:spacing w:after="0" w:line="240" w:lineRule="auto"/>
              <w:rPr>
                <w:rFonts w:ascii="Arial" w:eastAsia="Times New Roman" w:hAnsi="Arial" w:cs="Arial"/>
                <w:color w:val="000000"/>
                <w:sz w:val="20"/>
                <w:szCs w:val="20"/>
                <w:lang w:eastAsia="fr-FR"/>
              </w:rPr>
            </w:pPr>
            <w:r>
              <w:rPr>
                <w:rFonts w:ascii="Aptos Narrow" w:hAnsi="Aptos Narrow"/>
                <w:color w:val="000000"/>
              </w:rPr>
              <w:t>pieces</w:t>
            </w:r>
          </w:p>
        </w:tc>
        <w:tc>
          <w:tcPr>
            <w:tcW w:w="992" w:type="dxa"/>
          </w:tcPr>
          <w:p w14:paraId="4B5DEC39" w14:textId="77777777" w:rsidR="000A4198" w:rsidRPr="007E3830" w:rsidRDefault="000A4198" w:rsidP="000A4198">
            <w:pPr>
              <w:spacing w:after="0" w:line="240" w:lineRule="auto"/>
              <w:rPr>
                <w:rFonts w:ascii="Arial" w:eastAsia="Times New Roman" w:hAnsi="Arial" w:cs="Arial"/>
                <w:color w:val="000000"/>
                <w:sz w:val="20"/>
                <w:szCs w:val="20"/>
                <w:lang w:eastAsia="fr-FR"/>
              </w:rPr>
            </w:pPr>
          </w:p>
        </w:tc>
        <w:tc>
          <w:tcPr>
            <w:tcW w:w="1418" w:type="dxa"/>
          </w:tcPr>
          <w:p w14:paraId="365E4689" w14:textId="5AFB8B0B" w:rsidR="000A4198" w:rsidRPr="007E3830" w:rsidRDefault="005719E2" w:rsidP="000A4198">
            <w:pPr>
              <w:spacing w:after="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7000</w:t>
            </w:r>
          </w:p>
        </w:tc>
        <w:tc>
          <w:tcPr>
            <w:tcW w:w="1417" w:type="dxa"/>
          </w:tcPr>
          <w:p w14:paraId="5D332862" w14:textId="77777777" w:rsidR="000A4198" w:rsidRPr="007E3830" w:rsidRDefault="000A4198" w:rsidP="000A4198">
            <w:pPr>
              <w:spacing w:after="0" w:line="240" w:lineRule="auto"/>
              <w:rPr>
                <w:rFonts w:ascii="Arial" w:eastAsia="Times New Roman" w:hAnsi="Arial" w:cs="Arial"/>
                <w:color w:val="000000"/>
                <w:sz w:val="20"/>
                <w:szCs w:val="20"/>
                <w:lang w:eastAsia="fr-FR"/>
              </w:rPr>
            </w:pPr>
          </w:p>
        </w:tc>
      </w:tr>
    </w:tbl>
    <w:p w14:paraId="71691AC3" w14:textId="77777777" w:rsidR="005E103B" w:rsidRPr="007E3830" w:rsidRDefault="005E103B" w:rsidP="005E103B">
      <w:pPr>
        <w:jc w:val="both"/>
      </w:pPr>
    </w:p>
    <w:p w14:paraId="24E8F531" w14:textId="77777777" w:rsidR="006F7169" w:rsidRPr="006F7169" w:rsidRDefault="006F7169" w:rsidP="005E103B">
      <w:pPr>
        <w:jc w:val="both"/>
        <w:rPr>
          <w:b/>
          <w:bCs/>
        </w:rPr>
      </w:pPr>
      <w:r w:rsidRPr="006F7169">
        <w:rPr>
          <w:b/>
          <w:bCs/>
        </w:rPr>
        <w:t>10.2 Conditions de Prix</w:t>
      </w:r>
    </w:p>
    <w:p w14:paraId="18130EC0" w14:textId="77777777" w:rsidR="006F7169" w:rsidRPr="006F7169" w:rsidRDefault="006F7169" w:rsidP="005E103B">
      <w:pPr>
        <w:numPr>
          <w:ilvl w:val="0"/>
          <w:numId w:val="9"/>
        </w:numPr>
        <w:spacing w:after="0" w:line="240" w:lineRule="auto"/>
        <w:jc w:val="both"/>
        <w:rPr>
          <w:lang w:val="fr-FR"/>
        </w:rPr>
      </w:pPr>
      <w:r w:rsidRPr="006F7169">
        <w:rPr>
          <w:lang w:val="fr-FR"/>
        </w:rPr>
        <w:t xml:space="preserve">Les prix unitaires doivent être </w:t>
      </w:r>
      <w:r w:rsidRPr="006F7169">
        <w:rPr>
          <w:b/>
          <w:bCs/>
          <w:lang w:val="fr-FR"/>
        </w:rPr>
        <w:t>tout compris</w:t>
      </w:r>
      <w:r w:rsidRPr="006F7169">
        <w:rPr>
          <w:lang w:val="fr-FR"/>
        </w:rPr>
        <w:t>, incluant la fourniture, l’emballage et la livraison le cas échéant</w:t>
      </w:r>
    </w:p>
    <w:p w14:paraId="2E29AD33" w14:textId="77777777" w:rsidR="006F7169" w:rsidRPr="006F7169" w:rsidRDefault="006F7169" w:rsidP="005E103B">
      <w:pPr>
        <w:numPr>
          <w:ilvl w:val="0"/>
          <w:numId w:val="9"/>
        </w:numPr>
        <w:spacing w:after="0" w:line="240" w:lineRule="auto"/>
        <w:jc w:val="both"/>
        <w:rPr>
          <w:lang w:val="fr-FR"/>
        </w:rPr>
      </w:pPr>
      <w:r w:rsidRPr="006F7169">
        <w:rPr>
          <w:lang w:val="fr-FR"/>
        </w:rPr>
        <w:t xml:space="preserve">Les prix resteront </w:t>
      </w:r>
      <w:r w:rsidRPr="006F7169">
        <w:rPr>
          <w:b/>
          <w:bCs/>
          <w:lang w:val="fr-FR"/>
        </w:rPr>
        <w:t>fermés et valides</w:t>
      </w:r>
      <w:r w:rsidRPr="006F7169">
        <w:rPr>
          <w:lang w:val="fr-FR"/>
        </w:rPr>
        <w:t xml:space="preserve"> pendant toute la durée du LTA</w:t>
      </w:r>
    </w:p>
    <w:p w14:paraId="0FE64204" w14:textId="77777777" w:rsidR="006F7169" w:rsidRPr="006F7169" w:rsidRDefault="006F7169" w:rsidP="005E103B">
      <w:pPr>
        <w:numPr>
          <w:ilvl w:val="0"/>
          <w:numId w:val="9"/>
        </w:numPr>
        <w:spacing w:after="0" w:line="240" w:lineRule="auto"/>
        <w:jc w:val="both"/>
        <w:rPr>
          <w:lang w:val="fr-FR"/>
        </w:rPr>
      </w:pPr>
      <w:r w:rsidRPr="006F7169">
        <w:rPr>
          <w:lang w:val="fr-FR"/>
        </w:rPr>
        <w:t>Les soumissionnaires sont encouragés à proposer des prix plus compétitifs pour les volumes plus élevés</w:t>
      </w:r>
    </w:p>
    <w:p w14:paraId="0F7F47AE" w14:textId="77777777" w:rsidR="006F7169" w:rsidRPr="006F7169" w:rsidRDefault="006F7169" w:rsidP="005E103B">
      <w:pPr>
        <w:numPr>
          <w:ilvl w:val="0"/>
          <w:numId w:val="9"/>
        </w:numPr>
        <w:spacing w:after="0" w:line="240" w:lineRule="auto"/>
        <w:jc w:val="both"/>
        <w:rPr>
          <w:lang w:val="fr-FR"/>
        </w:rPr>
      </w:pPr>
      <w:r w:rsidRPr="006F7169">
        <w:rPr>
          <w:lang w:val="fr-FR"/>
        </w:rPr>
        <w:t>L’OIM se réserve le droit de passer des commandes sur toute tranche de quantité et/ou de répartir les commandes entre plusieurs titulaires de LTA</w:t>
      </w:r>
    </w:p>
    <w:p w14:paraId="20EDA8D7" w14:textId="77777777" w:rsidR="006F7169" w:rsidRPr="006F7169" w:rsidRDefault="009875A7" w:rsidP="005E103B">
      <w:pPr>
        <w:jc w:val="both"/>
      </w:pPr>
      <w:r>
        <w:pict w14:anchorId="2872BB49">
          <v:rect id="_x0000_i1036" style="width:0;height:1.5pt" o:hralign="center" o:hrstd="t" o:hr="t" fillcolor="#a0a0a0" stroked="f"/>
        </w:pict>
      </w:r>
    </w:p>
    <w:p w14:paraId="587316A5" w14:textId="77777777" w:rsidR="006F7169" w:rsidRPr="006F7169" w:rsidRDefault="006F7169" w:rsidP="005E103B">
      <w:pPr>
        <w:jc w:val="both"/>
        <w:rPr>
          <w:b/>
          <w:bCs/>
          <w:lang w:val="fr-FR"/>
        </w:rPr>
      </w:pPr>
      <w:r w:rsidRPr="006F7169">
        <w:rPr>
          <w:b/>
          <w:bCs/>
          <w:lang w:val="fr-FR"/>
        </w:rPr>
        <w:t>11. Approbation des Échantillons et Inspection (Post-attribution)</w:t>
      </w:r>
    </w:p>
    <w:p w14:paraId="5238B047" w14:textId="77777777" w:rsidR="006F7169" w:rsidRPr="006F7169" w:rsidRDefault="006F7169" w:rsidP="005E103B">
      <w:pPr>
        <w:jc w:val="both"/>
        <w:rPr>
          <w:lang w:val="fr-FR"/>
        </w:rPr>
      </w:pPr>
      <w:r w:rsidRPr="006F7169">
        <w:rPr>
          <w:lang w:val="fr-FR"/>
        </w:rPr>
        <w:t>Aucun échantillon physique ne sera requis au stade de la soumission ou de l’évaluation des offres.</w:t>
      </w:r>
    </w:p>
    <w:p w14:paraId="63CF62B1" w14:textId="77777777" w:rsidR="006F7169" w:rsidRPr="006F7169" w:rsidRDefault="006F7169" w:rsidP="005E103B">
      <w:pPr>
        <w:jc w:val="both"/>
        <w:rPr>
          <w:lang w:val="fr-FR"/>
        </w:rPr>
      </w:pPr>
      <w:r w:rsidRPr="006F7169">
        <w:rPr>
          <w:lang w:val="fr-FR"/>
        </w:rPr>
        <w:t>Après la décision d’attribution et avant la signature du LTA, le(s) soumissionnaire(s) retenu(s) pourra(ont) être tenu(s) de soumettre des échantillons ou de faciliter leur inspection pour examen et approbation par l’OIM.</w:t>
      </w:r>
    </w:p>
    <w:p w14:paraId="260A0468" w14:textId="77777777" w:rsidR="006F7169" w:rsidRPr="006F7169" w:rsidRDefault="006F7169" w:rsidP="005E103B">
      <w:pPr>
        <w:jc w:val="both"/>
        <w:rPr>
          <w:lang w:val="fr-FR"/>
        </w:rPr>
      </w:pPr>
      <w:r w:rsidRPr="006F7169">
        <w:rPr>
          <w:lang w:val="fr-FR"/>
        </w:rPr>
        <w:t xml:space="preserve">L’attribution et la signature du LTA seront </w:t>
      </w:r>
      <w:r w:rsidRPr="006F7169">
        <w:rPr>
          <w:b/>
          <w:bCs/>
          <w:lang w:val="fr-FR"/>
        </w:rPr>
        <w:t>conditionnées à l’approbation des échantillons</w:t>
      </w:r>
      <w:r w:rsidRPr="006F7169">
        <w:rPr>
          <w:lang w:val="fr-FR"/>
        </w:rPr>
        <w:t>.</w:t>
      </w:r>
      <w:r w:rsidRPr="006F7169">
        <w:rPr>
          <w:lang w:val="fr-FR"/>
        </w:rPr>
        <w:br/>
        <w:t>L’approbation des échantillons ne dégage pas le Fournisseur de son obligation de livrer des biens entièrement conformes aux spécifications approuvées.</w:t>
      </w:r>
    </w:p>
    <w:p w14:paraId="4AA488EB" w14:textId="77777777" w:rsidR="003B4336" w:rsidRPr="00120111" w:rsidRDefault="003B4336" w:rsidP="003B4336">
      <w:pPr>
        <w:pStyle w:val="ListParagraph"/>
        <w:numPr>
          <w:ilvl w:val="0"/>
          <w:numId w:val="14"/>
        </w:numPr>
        <w:jc w:val="both"/>
        <w:rPr>
          <w:lang w:val="fr-FR"/>
        </w:rPr>
      </w:pPr>
    </w:p>
    <w:p w14:paraId="69E13228" w14:textId="77777777" w:rsidR="006F7169" w:rsidRPr="003B4336" w:rsidRDefault="006F7169" w:rsidP="003B4336">
      <w:pPr>
        <w:pStyle w:val="ListParagraph"/>
        <w:numPr>
          <w:ilvl w:val="0"/>
          <w:numId w:val="14"/>
        </w:numPr>
        <w:jc w:val="both"/>
        <w:rPr>
          <w:b/>
          <w:bCs/>
          <w:lang w:val="fr-FR"/>
        </w:rPr>
      </w:pPr>
      <w:r w:rsidRPr="003B4336">
        <w:rPr>
          <w:b/>
          <w:bCs/>
          <w:lang w:val="fr-FR"/>
        </w:rPr>
        <w:t>12. Cadre Contractuel</w:t>
      </w:r>
    </w:p>
    <w:p w14:paraId="7F4E2A14" w14:textId="77777777" w:rsidR="006F7169" w:rsidRPr="006F7169" w:rsidRDefault="006F7169" w:rsidP="005E103B">
      <w:pPr>
        <w:jc w:val="both"/>
        <w:rPr>
          <w:lang w:val="fr-FR"/>
        </w:rPr>
      </w:pPr>
      <w:r w:rsidRPr="006F7169">
        <w:rPr>
          <w:lang w:val="fr-FR"/>
        </w:rPr>
        <w:t xml:space="preserve">Les soumissionnaires retenus concluront un </w:t>
      </w:r>
      <w:r w:rsidRPr="006F7169">
        <w:rPr>
          <w:b/>
          <w:bCs/>
          <w:lang w:val="fr-FR"/>
        </w:rPr>
        <w:t>Accord à Long Terme (LTA)</w:t>
      </w:r>
      <w:r w:rsidRPr="006F7169">
        <w:rPr>
          <w:lang w:val="fr-FR"/>
        </w:rPr>
        <w:t xml:space="preserve"> avec l’OIM, dans le cadre duquel :</w:t>
      </w:r>
    </w:p>
    <w:p w14:paraId="74B143A3" w14:textId="77777777" w:rsidR="006F7169" w:rsidRPr="006F7169" w:rsidRDefault="006F7169" w:rsidP="005E103B">
      <w:pPr>
        <w:numPr>
          <w:ilvl w:val="0"/>
          <w:numId w:val="10"/>
        </w:numPr>
        <w:spacing w:after="0" w:line="240" w:lineRule="auto"/>
        <w:jc w:val="both"/>
        <w:rPr>
          <w:lang w:val="fr-FR"/>
        </w:rPr>
      </w:pPr>
      <w:r w:rsidRPr="006F7169">
        <w:rPr>
          <w:lang w:val="fr-FR"/>
        </w:rPr>
        <w:t>Aucune quantité minimale d’achat n’est garantie</w:t>
      </w:r>
    </w:p>
    <w:p w14:paraId="4F7CC684" w14:textId="77777777" w:rsidR="006F7169" w:rsidRPr="006F7169" w:rsidRDefault="006F7169" w:rsidP="005E103B">
      <w:pPr>
        <w:numPr>
          <w:ilvl w:val="0"/>
          <w:numId w:val="10"/>
        </w:numPr>
        <w:spacing w:after="0" w:line="240" w:lineRule="auto"/>
        <w:jc w:val="both"/>
        <w:rPr>
          <w:lang w:val="fr-FR"/>
        </w:rPr>
      </w:pPr>
      <w:r w:rsidRPr="006F7169">
        <w:rPr>
          <w:lang w:val="fr-FR"/>
        </w:rPr>
        <w:t xml:space="preserve">Les achats seront effectués via des </w:t>
      </w:r>
      <w:r w:rsidRPr="006F7169">
        <w:rPr>
          <w:b/>
          <w:bCs/>
          <w:lang w:val="fr-FR"/>
        </w:rPr>
        <w:t>Bons de Commande (Call-Off Purchase Orders)</w:t>
      </w:r>
    </w:p>
    <w:p w14:paraId="00D88B00" w14:textId="77777777" w:rsidR="006F7169" w:rsidRPr="006F7169" w:rsidRDefault="006F7169" w:rsidP="005E103B">
      <w:pPr>
        <w:numPr>
          <w:ilvl w:val="0"/>
          <w:numId w:val="10"/>
        </w:numPr>
        <w:spacing w:after="0" w:line="240" w:lineRule="auto"/>
        <w:jc w:val="both"/>
        <w:rPr>
          <w:lang w:val="fr-FR"/>
        </w:rPr>
      </w:pPr>
      <w:r w:rsidRPr="006F7169">
        <w:rPr>
          <w:lang w:val="fr-FR"/>
        </w:rPr>
        <w:t xml:space="preserve">Les </w:t>
      </w:r>
      <w:r w:rsidRPr="006F7169">
        <w:rPr>
          <w:b/>
          <w:bCs/>
          <w:lang w:val="fr-FR"/>
        </w:rPr>
        <w:t>Conditions Générales de Contrat de l’OIM</w:t>
      </w:r>
      <w:r w:rsidRPr="006F7169">
        <w:rPr>
          <w:lang w:val="fr-FR"/>
        </w:rPr>
        <w:t xml:space="preserve"> s’appliquent</w:t>
      </w:r>
    </w:p>
    <w:p w14:paraId="37C412BD" w14:textId="77777777" w:rsidR="005E103B" w:rsidRDefault="005E103B" w:rsidP="005E103B">
      <w:pPr>
        <w:jc w:val="both"/>
        <w:rPr>
          <w:b/>
          <w:bCs/>
          <w:lang w:val="fr-FR"/>
        </w:rPr>
      </w:pPr>
    </w:p>
    <w:p w14:paraId="0E5938B3" w14:textId="77777777" w:rsidR="006F7169" w:rsidRPr="006F7169" w:rsidRDefault="006F7169" w:rsidP="005E103B">
      <w:pPr>
        <w:jc w:val="both"/>
        <w:rPr>
          <w:b/>
          <w:bCs/>
          <w:lang w:val="fr-FR"/>
        </w:rPr>
      </w:pPr>
      <w:r w:rsidRPr="006F7169">
        <w:rPr>
          <w:b/>
          <w:bCs/>
          <w:lang w:val="fr-FR"/>
        </w:rPr>
        <w:t>Droit de Rejet des Biens Non Conformes</w:t>
      </w:r>
    </w:p>
    <w:p w14:paraId="0FE0D943" w14:textId="77777777" w:rsidR="006F7169" w:rsidRPr="006F7169" w:rsidRDefault="006F7169" w:rsidP="005E103B">
      <w:pPr>
        <w:jc w:val="both"/>
        <w:rPr>
          <w:lang w:val="fr-FR"/>
        </w:rPr>
      </w:pPr>
      <w:r w:rsidRPr="006F7169">
        <w:rPr>
          <w:lang w:val="fr-FR"/>
        </w:rPr>
        <w:t>L’Entité contractante se réserve le droit de rejeter tout bien qui, bien que conforme aux spécifications écrites, serait jugé dangereux, mal fini, de qualité inférieure ou inadapté à un usage humanitaire.</w:t>
      </w:r>
    </w:p>
    <w:p w14:paraId="3FFBA117" w14:textId="77777777" w:rsidR="006F7169" w:rsidRPr="006F7169" w:rsidRDefault="009875A7" w:rsidP="005E103B">
      <w:pPr>
        <w:jc w:val="both"/>
      </w:pPr>
      <w:r>
        <w:pict w14:anchorId="75FE6EAB">
          <v:rect id="_x0000_i1037" style="width:0;height:1.5pt" o:hralign="center" o:hrstd="t" o:hr="t" fillcolor="#a0a0a0" stroked="f"/>
        </w:pict>
      </w:r>
    </w:p>
    <w:p w14:paraId="335FC4F6" w14:textId="77777777" w:rsidR="006F7169" w:rsidRPr="006F7169" w:rsidRDefault="006F7169" w:rsidP="005E103B">
      <w:pPr>
        <w:jc w:val="both"/>
        <w:rPr>
          <w:b/>
          <w:bCs/>
          <w:lang w:val="fr-FR"/>
        </w:rPr>
      </w:pPr>
      <w:r w:rsidRPr="006F7169">
        <w:rPr>
          <w:b/>
          <w:bCs/>
          <w:lang w:val="fr-FR"/>
        </w:rPr>
        <w:t>13. Normes Éthiques et Conformité</w:t>
      </w:r>
    </w:p>
    <w:p w14:paraId="7C13EC2D" w14:textId="77777777" w:rsidR="006F7169" w:rsidRPr="006F7169" w:rsidRDefault="006F7169" w:rsidP="005E103B">
      <w:pPr>
        <w:jc w:val="both"/>
        <w:rPr>
          <w:lang w:val="fr-FR"/>
        </w:rPr>
      </w:pPr>
      <w:r w:rsidRPr="006F7169">
        <w:rPr>
          <w:lang w:val="fr-FR"/>
        </w:rPr>
        <w:lastRenderedPageBreak/>
        <w:t>Les fournisseurs doivent se conformer :</w:t>
      </w:r>
    </w:p>
    <w:p w14:paraId="2358803F" w14:textId="77777777" w:rsidR="006F7169" w:rsidRPr="006F7169" w:rsidRDefault="006F7169" w:rsidP="005E103B">
      <w:pPr>
        <w:numPr>
          <w:ilvl w:val="0"/>
          <w:numId w:val="11"/>
        </w:numPr>
        <w:spacing w:after="0" w:line="240" w:lineRule="auto"/>
        <w:jc w:val="both"/>
        <w:rPr>
          <w:lang w:val="fr-FR"/>
        </w:rPr>
      </w:pPr>
      <w:r w:rsidRPr="006F7169">
        <w:rPr>
          <w:lang w:val="fr-FR"/>
        </w:rPr>
        <w:t xml:space="preserve">au </w:t>
      </w:r>
      <w:r w:rsidRPr="006F7169">
        <w:rPr>
          <w:b/>
          <w:bCs/>
          <w:lang w:val="fr-FR"/>
        </w:rPr>
        <w:t>Code de conduite des fournisseurs de l’OIM</w:t>
      </w:r>
    </w:p>
    <w:p w14:paraId="153CBB25" w14:textId="77777777" w:rsidR="006F7169" w:rsidRPr="006F7169" w:rsidRDefault="006F7169" w:rsidP="005E103B">
      <w:pPr>
        <w:numPr>
          <w:ilvl w:val="0"/>
          <w:numId w:val="11"/>
        </w:numPr>
        <w:spacing w:after="0" w:line="240" w:lineRule="auto"/>
        <w:jc w:val="both"/>
        <w:rPr>
          <w:lang w:val="fr-FR"/>
        </w:rPr>
      </w:pPr>
      <w:r w:rsidRPr="006F7169">
        <w:rPr>
          <w:lang w:val="fr-FR"/>
        </w:rPr>
        <w:t xml:space="preserve">aux politiques de </w:t>
      </w:r>
      <w:r w:rsidRPr="006F7169">
        <w:rPr>
          <w:b/>
          <w:bCs/>
          <w:lang w:val="fr-FR"/>
        </w:rPr>
        <w:t>lutte contre la fraude et la corruption</w:t>
      </w:r>
    </w:p>
    <w:p w14:paraId="55E42E24" w14:textId="77777777" w:rsidR="006F7169" w:rsidRPr="006F7169" w:rsidRDefault="006F7169" w:rsidP="005E103B">
      <w:pPr>
        <w:numPr>
          <w:ilvl w:val="0"/>
          <w:numId w:val="11"/>
        </w:numPr>
        <w:spacing w:after="0" w:line="240" w:lineRule="auto"/>
        <w:jc w:val="both"/>
        <w:rPr>
          <w:lang w:val="fr-FR"/>
        </w:rPr>
      </w:pPr>
      <w:r w:rsidRPr="006F7169">
        <w:rPr>
          <w:lang w:val="fr-FR"/>
        </w:rPr>
        <w:t xml:space="preserve">aux normes de </w:t>
      </w:r>
      <w:r w:rsidRPr="006F7169">
        <w:rPr>
          <w:b/>
          <w:bCs/>
          <w:lang w:val="fr-FR"/>
        </w:rPr>
        <w:t>responsabilité environnementale et sociale</w:t>
      </w:r>
    </w:p>
    <w:p w14:paraId="2DCB01A8" w14:textId="77777777" w:rsidR="006F7169" w:rsidRPr="006F7169" w:rsidRDefault="009875A7" w:rsidP="005E103B">
      <w:pPr>
        <w:jc w:val="both"/>
      </w:pPr>
      <w:r>
        <w:pict w14:anchorId="3CE88EE8">
          <v:rect id="_x0000_i1038" style="width:0;height:1.5pt" o:hralign="center" o:hrstd="t" o:hr="t" fillcolor="#a0a0a0" stroked="f"/>
        </w:pict>
      </w:r>
    </w:p>
    <w:p w14:paraId="600B570E" w14:textId="77777777" w:rsidR="006F7169" w:rsidRPr="006F7169" w:rsidRDefault="006F7169" w:rsidP="005E103B">
      <w:pPr>
        <w:jc w:val="both"/>
        <w:rPr>
          <w:b/>
          <w:bCs/>
        </w:rPr>
      </w:pPr>
      <w:r w:rsidRPr="006F7169">
        <w:rPr>
          <w:b/>
          <w:bCs/>
        </w:rPr>
        <w:t xml:space="preserve">14. </w:t>
      </w:r>
      <w:proofErr w:type="spellStart"/>
      <w:r w:rsidRPr="006F7169">
        <w:rPr>
          <w:b/>
          <w:bCs/>
        </w:rPr>
        <w:t>Soumission</w:t>
      </w:r>
      <w:proofErr w:type="spellEnd"/>
      <w:r w:rsidRPr="006F7169">
        <w:rPr>
          <w:b/>
          <w:bCs/>
        </w:rPr>
        <w:t xml:space="preserve"> des Offres</w:t>
      </w:r>
    </w:p>
    <w:p w14:paraId="2E17A9CD" w14:textId="77777777" w:rsidR="006F7169" w:rsidRPr="006F7169" w:rsidRDefault="006F7169" w:rsidP="005E103B">
      <w:pPr>
        <w:numPr>
          <w:ilvl w:val="0"/>
          <w:numId w:val="12"/>
        </w:numPr>
        <w:spacing w:after="0" w:line="240" w:lineRule="auto"/>
        <w:jc w:val="both"/>
        <w:rPr>
          <w:lang w:val="fr-FR"/>
        </w:rPr>
      </w:pPr>
      <w:r w:rsidRPr="006F7169">
        <w:rPr>
          <w:lang w:val="fr-FR"/>
        </w:rPr>
        <w:t xml:space="preserve">Les soumissionnaires doivent soumettre des </w:t>
      </w:r>
      <w:r w:rsidRPr="006F7169">
        <w:rPr>
          <w:b/>
          <w:bCs/>
          <w:lang w:val="fr-FR"/>
        </w:rPr>
        <w:t>offres techniques et financières séparées</w:t>
      </w:r>
    </w:p>
    <w:p w14:paraId="5CD9DEA9" w14:textId="77777777" w:rsidR="006F7169" w:rsidRPr="006F7169" w:rsidRDefault="006F7169" w:rsidP="005E103B">
      <w:pPr>
        <w:numPr>
          <w:ilvl w:val="0"/>
          <w:numId w:val="12"/>
        </w:numPr>
        <w:spacing w:after="0" w:line="240" w:lineRule="auto"/>
        <w:jc w:val="both"/>
        <w:rPr>
          <w:lang w:val="fr-FR"/>
        </w:rPr>
      </w:pPr>
      <w:r w:rsidRPr="006F7169">
        <w:rPr>
          <w:lang w:val="fr-FR"/>
        </w:rPr>
        <w:t>Les soumissions doivent respecter les instructions définies dans l’ITB</w:t>
      </w:r>
    </w:p>
    <w:p w14:paraId="2D3FD449" w14:textId="77777777" w:rsidR="006F7169" w:rsidRPr="006F7169" w:rsidRDefault="006F7169" w:rsidP="005E103B">
      <w:pPr>
        <w:numPr>
          <w:ilvl w:val="0"/>
          <w:numId w:val="12"/>
        </w:numPr>
        <w:spacing w:after="0" w:line="240" w:lineRule="auto"/>
        <w:jc w:val="both"/>
        <w:rPr>
          <w:lang w:val="fr-FR"/>
        </w:rPr>
      </w:pPr>
      <w:r w:rsidRPr="006F7169">
        <w:rPr>
          <w:lang w:val="fr-FR"/>
        </w:rPr>
        <w:t>Les soumissions tardives ne seront pas prises en considération</w:t>
      </w:r>
    </w:p>
    <w:p w14:paraId="04BFB4A9" w14:textId="77777777" w:rsidR="006F7169" w:rsidRPr="006F7169" w:rsidRDefault="009875A7" w:rsidP="005E103B">
      <w:pPr>
        <w:jc w:val="both"/>
      </w:pPr>
      <w:r>
        <w:pict w14:anchorId="40BF2CA1">
          <v:rect id="_x0000_i1039" style="width:0;height:1.5pt" o:hralign="center" o:hrstd="t" o:hr="t" fillcolor="#a0a0a0" stroked="f"/>
        </w:pict>
      </w:r>
    </w:p>
    <w:p w14:paraId="49827D74" w14:textId="77777777" w:rsidR="006F7169" w:rsidRPr="006F7169" w:rsidRDefault="006F7169" w:rsidP="005E103B">
      <w:pPr>
        <w:jc w:val="both"/>
        <w:rPr>
          <w:b/>
          <w:bCs/>
          <w:lang w:val="fr-FR"/>
        </w:rPr>
      </w:pPr>
      <w:r w:rsidRPr="006F7169">
        <w:rPr>
          <w:b/>
          <w:bCs/>
          <w:lang w:val="fr-FR"/>
        </w:rPr>
        <w:t>15. Conditions Spéciales pour les Opérations d’Urgence</w:t>
      </w:r>
    </w:p>
    <w:p w14:paraId="2E139E9D" w14:textId="77777777" w:rsidR="006F7169" w:rsidRPr="006F7169" w:rsidRDefault="006F7169" w:rsidP="005E103B">
      <w:pPr>
        <w:numPr>
          <w:ilvl w:val="0"/>
          <w:numId w:val="13"/>
        </w:numPr>
        <w:spacing w:after="0" w:line="240" w:lineRule="auto"/>
        <w:jc w:val="both"/>
        <w:rPr>
          <w:lang w:val="fr-FR"/>
        </w:rPr>
      </w:pPr>
      <w:r w:rsidRPr="006F7169">
        <w:rPr>
          <w:lang w:val="fr-FR"/>
        </w:rPr>
        <w:t xml:space="preserve">L’OIM se réserve le droit d’attribuer </w:t>
      </w:r>
      <w:r w:rsidRPr="006F7169">
        <w:rPr>
          <w:b/>
          <w:bCs/>
          <w:lang w:val="fr-FR"/>
        </w:rPr>
        <w:t>plusieurs LTA</w:t>
      </w:r>
    </w:p>
    <w:p w14:paraId="41B8ADD9" w14:textId="77777777" w:rsidR="006F7169" w:rsidRPr="006F7169" w:rsidRDefault="006F7169" w:rsidP="005E103B">
      <w:pPr>
        <w:numPr>
          <w:ilvl w:val="0"/>
          <w:numId w:val="13"/>
        </w:numPr>
        <w:spacing w:after="0" w:line="240" w:lineRule="auto"/>
        <w:jc w:val="both"/>
        <w:rPr>
          <w:lang w:val="fr-FR"/>
        </w:rPr>
      </w:pPr>
      <w:r w:rsidRPr="006F7169">
        <w:rPr>
          <w:lang w:val="fr-FR"/>
        </w:rPr>
        <w:t>Les quantités peuvent être ajustées en fonction des besoins opérationnels</w:t>
      </w:r>
    </w:p>
    <w:p w14:paraId="64F23C3D" w14:textId="77777777" w:rsidR="006F7169" w:rsidRPr="006F7169" w:rsidRDefault="006F7169" w:rsidP="005E103B">
      <w:pPr>
        <w:numPr>
          <w:ilvl w:val="0"/>
          <w:numId w:val="13"/>
        </w:numPr>
        <w:spacing w:after="0" w:line="240" w:lineRule="auto"/>
        <w:jc w:val="both"/>
        <w:rPr>
          <w:lang w:val="fr-FR"/>
        </w:rPr>
      </w:pPr>
      <w:r w:rsidRPr="006F7169">
        <w:rPr>
          <w:lang w:val="fr-FR"/>
        </w:rPr>
        <w:t xml:space="preserve">Des retards répétés dans les délais de livraison peuvent entraîner la </w:t>
      </w:r>
      <w:r w:rsidRPr="006F7169">
        <w:rPr>
          <w:b/>
          <w:bCs/>
          <w:lang w:val="fr-FR"/>
        </w:rPr>
        <w:t>suspension ou la résiliation</w:t>
      </w:r>
      <w:r w:rsidRPr="006F7169">
        <w:rPr>
          <w:lang w:val="fr-FR"/>
        </w:rPr>
        <w:t xml:space="preserve"> du LTA</w:t>
      </w:r>
    </w:p>
    <w:p w14:paraId="13EC2F67" w14:textId="77777777" w:rsidR="00E27269" w:rsidRPr="006F7169" w:rsidRDefault="00E27269" w:rsidP="005E103B">
      <w:pPr>
        <w:jc w:val="both"/>
        <w:rPr>
          <w:lang w:val="fr-FR"/>
        </w:rPr>
      </w:pPr>
    </w:p>
    <w:sectPr w:rsidR="00E27269" w:rsidRPr="006F7169" w:rsidSect="005E103B">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AAF1484"/>
    <w:multiLevelType w:val="hybridMultilevel"/>
    <w:tmpl w:val="8A346B4C"/>
    <w:lvl w:ilvl="0" w:tplc="B76AD602">
      <w:start w:val="1"/>
      <w:numFmt w:val="bullet"/>
      <w:lvlText w:val=""/>
      <w:lvlPicBulletId w:val="0"/>
      <w:lvlJc w:val="left"/>
      <w:pPr>
        <w:tabs>
          <w:tab w:val="num" w:pos="720"/>
        </w:tabs>
        <w:ind w:left="720" w:hanging="360"/>
      </w:pPr>
      <w:rPr>
        <w:rFonts w:ascii="Symbol" w:hAnsi="Symbol" w:hint="default"/>
      </w:rPr>
    </w:lvl>
    <w:lvl w:ilvl="1" w:tplc="BFD845EC" w:tentative="1">
      <w:start w:val="1"/>
      <w:numFmt w:val="bullet"/>
      <w:lvlText w:val=""/>
      <w:lvlJc w:val="left"/>
      <w:pPr>
        <w:tabs>
          <w:tab w:val="num" w:pos="1440"/>
        </w:tabs>
        <w:ind w:left="1440" w:hanging="360"/>
      </w:pPr>
      <w:rPr>
        <w:rFonts w:ascii="Symbol" w:hAnsi="Symbol" w:hint="default"/>
      </w:rPr>
    </w:lvl>
    <w:lvl w:ilvl="2" w:tplc="DDE8A8CA" w:tentative="1">
      <w:start w:val="1"/>
      <w:numFmt w:val="bullet"/>
      <w:lvlText w:val=""/>
      <w:lvlJc w:val="left"/>
      <w:pPr>
        <w:tabs>
          <w:tab w:val="num" w:pos="2160"/>
        </w:tabs>
        <w:ind w:left="2160" w:hanging="360"/>
      </w:pPr>
      <w:rPr>
        <w:rFonts w:ascii="Symbol" w:hAnsi="Symbol" w:hint="default"/>
      </w:rPr>
    </w:lvl>
    <w:lvl w:ilvl="3" w:tplc="FB38295E" w:tentative="1">
      <w:start w:val="1"/>
      <w:numFmt w:val="bullet"/>
      <w:lvlText w:val=""/>
      <w:lvlJc w:val="left"/>
      <w:pPr>
        <w:tabs>
          <w:tab w:val="num" w:pos="2880"/>
        </w:tabs>
        <w:ind w:left="2880" w:hanging="360"/>
      </w:pPr>
      <w:rPr>
        <w:rFonts w:ascii="Symbol" w:hAnsi="Symbol" w:hint="default"/>
      </w:rPr>
    </w:lvl>
    <w:lvl w:ilvl="4" w:tplc="85B2727E" w:tentative="1">
      <w:start w:val="1"/>
      <w:numFmt w:val="bullet"/>
      <w:lvlText w:val=""/>
      <w:lvlJc w:val="left"/>
      <w:pPr>
        <w:tabs>
          <w:tab w:val="num" w:pos="3600"/>
        </w:tabs>
        <w:ind w:left="3600" w:hanging="360"/>
      </w:pPr>
      <w:rPr>
        <w:rFonts w:ascii="Symbol" w:hAnsi="Symbol" w:hint="default"/>
      </w:rPr>
    </w:lvl>
    <w:lvl w:ilvl="5" w:tplc="C852A572" w:tentative="1">
      <w:start w:val="1"/>
      <w:numFmt w:val="bullet"/>
      <w:lvlText w:val=""/>
      <w:lvlJc w:val="left"/>
      <w:pPr>
        <w:tabs>
          <w:tab w:val="num" w:pos="4320"/>
        </w:tabs>
        <w:ind w:left="4320" w:hanging="360"/>
      </w:pPr>
      <w:rPr>
        <w:rFonts w:ascii="Symbol" w:hAnsi="Symbol" w:hint="default"/>
      </w:rPr>
    </w:lvl>
    <w:lvl w:ilvl="6" w:tplc="9B885058" w:tentative="1">
      <w:start w:val="1"/>
      <w:numFmt w:val="bullet"/>
      <w:lvlText w:val=""/>
      <w:lvlJc w:val="left"/>
      <w:pPr>
        <w:tabs>
          <w:tab w:val="num" w:pos="5040"/>
        </w:tabs>
        <w:ind w:left="5040" w:hanging="360"/>
      </w:pPr>
      <w:rPr>
        <w:rFonts w:ascii="Symbol" w:hAnsi="Symbol" w:hint="default"/>
      </w:rPr>
    </w:lvl>
    <w:lvl w:ilvl="7" w:tplc="D05AC13E" w:tentative="1">
      <w:start w:val="1"/>
      <w:numFmt w:val="bullet"/>
      <w:lvlText w:val=""/>
      <w:lvlJc w:val="left"/>
      <w:pPr>
        <w:tabs>
          <w:tab w:val="num" w:pos="5760"/>
        </w:tabs>
        <w:ind w:left="5760" w:hanging="360"/>
      </w:pPr>
      <w:rPr>
        <w:rFonts w:ascii="Symbol" w:hAnsi="Symbol" w:hint="default"/>
      </w:rPr>
    </w:lvl>
    <w:lvl w:ilvl="8" w:tplc="0A4A2D1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4F1DC7"/>
    <w:multiLevelType w:val="multilevel"/>
    <w:tmpl w:val="452E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C40E2C"/>
    <w:multiLevelType w:val="multilevel"/>
    <w:tmpl w:val="D33C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046881"/>
    <w:multiLevelType w:val="multilevel"/>
    <w:tmpl w:val="E0325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352641"/>
    <w:multiLevelType w:val="multilevel"/>
    <w:tmpl w:val="8774E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C072E9"/>
    <w:multiLevelType w:val="multilevel"/>
    <w:tmpl w:val="374A7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B66BB"/>
    <w:multiLevelType w:val="multilevel"/>
    <w:tmpl w:val="DCD2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E72385"/>
    <w:multiLevelType w:val="multilevel"/>
    <w:tmpl w:val="B494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902526"/>
    <w:multiLevelType w:val="multilevel"/>
    <w:tmpl w:val="DD8E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F80D8D"/>
    <w:multiLevelType w:val="multilevel"/>
    <w:tmpl w:val="310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8C29D4"/>
    <w:multiLevelType w:val="multilevel"/>
    <w:tmpl w:val="D7E295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6736CF"/>
    <w:multiLevelType w:val="multilevel"/>
    <w:tmpl w:val="DA92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DE1A15"/>
    <w:multiLevelType w:val="multilevel"/>
    <w:tmpl w:val="8224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CB5A78"/>
    <w:multiLevelType w:val="multilevel"/>
    <w:tmpl w:val="EDFC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9327401">
    <w:abstractNumId w:val="9"/>
  </w:num>
  <w:num w:numId="2" w16cid:durableId="111901166">
    <w:abstractNumId w:val="6"/>
  </w:num>
  <w:num w:numId="3" w16cid:durableId="1315794185">
    <w:abstractNumId w:val="10"/>
  </w:num>
  <w:num w:numId="4" w16cid:durableId="912392926">
    <w:abstractNumId w:val="8"/>
  </w:num>
  <w:num w:numId="5" w16cid:durableId="754396666">
    <w:abstractNumId w:val="3"/>
  </w:num>
  <w:num w:numId="6" w16cid:durableId="1300767874">
    <w:abstractNumId w:val="1"/>
  </w:num>
  <w:num w:numId="7" w16cid:durableId="1516379630">
    <w:abstractNumId w:val="4"/>
  </w:num>
  <w:num w:numId="8" w16cid:durableId="1386104908">
    <w:abstractNumId w:val="11"/>
  </w:num>
  <w:num w:numId="9" w16cid:durableId="374426995">
    <w:abstractNumId w:val="5"/>
  </w:num>
  <w:num w:numId="10" w16cid:durableId="1465081921">
    <w:abstractNumId w:val="13"/>
  </w:num>
  <w:num w:numId="11" w16cid:durableId="2128965758">
    <w:abstractNumId w:val="12"/>
  </w:num>
  <w:num w:numId="12" w16cid:durableId="335620612">
    <w:abstractNumId w:val="7"/>
  </w:num>
  <w:num w:numId="13" w16cid:durableId="1347708594">
    <w:abstractNumId w:val="2"/>
  </w:num>
  <w:num w:numId="14" w16cid:durableId="13063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AD"/>
    <w:rsid w:val="0003017A"/>
    <w:rsid w:val="00096F0C"/>
    <w:rsid w:val="000A4198"/>
    <w:rsid w:val="000D2D3A"/>
    <w:rsid w:val="00120111"/>
    <w:rsid w:val="001B329B"/>
    <w:rsid w:val="001F6C0A"/>
    <w:rsid w:val="00234BC9"/>
    <w:rsid w:val="002834A9"/>
    <w:rsid w:val="002B0CF5"/>
    <w:rsid w:val="002B1911"/>
    <w:rsid w:val="003169DE"/>
    <w:rsid w:val="00385674"/>
    <w:rsid w:val="003A0D19"/>
    <w:rsid w:val="003B4336"/>
    <w:rsid w:val="003D185F"/>
    <w:rsid w:val="003D70C8"/>
    <w:rsid w:val="003E57E3"/>
    <w:rsid w:val="003F544B"/>
    <w:rsid w:val="00411A36"/>
    <w:rsid w:val="004700FA"/>
    <w:rsid w:val="00533EB4"/>
    <w:rsid w:val="00554FA0"/>
    <w:rsid w:val="005719E2"/>
    <w:rsid w:val="005E103B"/>
    <w:rsid w:val="005F2649"/>
    <w:rsid w:val="006007FE"/>
    <w:rsid w:val="0061683B"/>
    <w:rsid w:val="006F1337"/>
    <w:rsid w:val="006F7169"/>
    <w:rsid w:val="00745C5A"/>
    <w:rsid w:val="007B6010"/>
    <w:rsid w:val="007E3830"/>
    <w:rsid w:val="00807B86"/>
    <w:rsid w:val="0091667B"/>
    <w:rsid w:val="009349CB"/>
    <w:rsid w:val="0094695F"/>
    <w:rsid w:val="00964D58"/>
    <w:rsid w:val="00981B7C"/>
    <w:rsid w:val="00986E2A"/>
    <w:rsid w:val="00A3490D"/>
    <w:rsid w:val="00A67954"/>
    <w:rsid w:val="00A71AA8"/>
    <w:rsid w:val="00B003AC"/>
    <w:rsid w:val="00B07E85"/>
    <w:rsid w:val="00B21834"/>
    <w:rsid w:val="00B62F76"/>
    <w:rsid w:val="00B64B01"/>
    <w:rsid w:val="00B844F0"/>
    <w:rsid w:val="00BF1377"/>
    <w:rsid w:val="00C35E57"/>
    <w:rsid w:val="00C44E9B"/>
    <w:rsid w:val="00C460D1"/>
    <w:rsid w:val="00C51EB9"/>
    <w:rsid w:val="00CA3597"/>
    <w:rsid w:val="00CB4D12"/>
    <w:rsid w:val="00CD6F20"/>
    <w:rsid w:val="00D23E7C"/>
    <w:rsid w:val="00D40E1A"/>
    <w:rsid w:val="00D8378C"/>
    <w:rsid w:val="00E239AD"/>
    <w:rsid w:val="00E27269"/>
    <w:rsid w:val="00E27F15"/>
    <w:rsid w:val="00E66160"/>
    <w:rsid w:val="00E90280"/>
    <w:rsid w:val="00EA05FD"/>
    <w:rsid w:val="00EB4E7E"/>
    <w:rsid w:val="00F130E9"/>
    <w:rsid w:val="00F663D6"/>
    <w:rsid w:val="00FC0A49"/>
    <w:rsid w:val="00FE28B7"/>
    <w:rsid w:val="0D2EB3B1"/>
    <w:rsid w:val="20FAD11B"/>
    <w:rsid w:val="24D668EC"/>
    <w:rsid w:val="2B67203C"/>
    <w:rsid w:val="2D827918"/>
    <w:rsid w:val="316624CD"/>
    <w:rsid w:val="3234021B"/>
    <w:rsid w:val="3413B20E"/>
    <w:rsid w:val="34E1F1FE"/>
    <w:rsid w:val="3B6F1636"/>
    <w:rsid w:val="4B713559"/>
    <w:rsid w:val="51F95E78"/>
    <w:rsid w:val="5717FBC1"/>
    <w:rsid w:val="57D2070C"/>
    <w:rsid w:val="66D70DE1"/>
    <w:rsid w:val="7D7DC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8DA39"/>
  <w15:chartTrackingRefBased/>
  <w15:docId w15:val="{A404D434-F775-4534-82C5-6E16AAB9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239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239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239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239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239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239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239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239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239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239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AD"/>
    <w:rPr>
      <w:rFonts w:eastAsiaTheme="majorEastAsia" w:cstheme="majorBidi"/>
      <w:color w:val="272727" w:themeColor="text1" w:themeTint="D8"/>
    </w:rPr>
  </w:style>
  <w:style w:type="paragraph" w:styleId="Title">
    <w:name w:val="Title"/>
    <w:basedOn w:val="Normal"/>
    <w:next w:val="Normal"/>
    <w:link w:val="TitleChar"/>
    <w:uiPriority w:val="10"/>
    <w:qFormat/>
    <w:rsid w:val="00E23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AD"/>
    <w:pPr>
      <w:spacing w:before="160"/>
      <w:jc w:val="center"/>
    </w:pPr>
    <w:rPr>
      <w:i/>
      <w:iCs/>
      <w:color w:val="404040" w:themeColor="text1" w:themeTint="BF"/>
    </w:rPr>
  </w:style>
  <w:style w:type="character" w:customStyle="1" w:styleId="QuoteChar">
    <w:name w:val="Quote Char"/>
    <w:basedOn w:val="DefaultParagraphFont"/>
    <w:link w:val="Quote"/>
    <w:uiPriority w:val="29"/>
    <w:rsid w:val="00E239AD"/>
    <w:rPr>
      <w:i/>
      <w:iCs/>
      <w:color w:val="404040" w:themeColor="text1" w:themeTint="BF"/>
    </w:rPr>
  </w:style>
  <w:style w:type="paragraph" w:styleId="ListParagraph">
    <w:name w:val="List Paragraph"/>
    <w:basedOn w:val="Normal"/>
    <w:uiPriority w:val="34"/>
    <w:qFormat/>
    <w:rsid w:val="00E239AD"/>
    <w:pPr>
      <w:ind w:left="720"/>
      <w:contextualSpacing/>
    </w:pPr>
  </w:style>
  <w:style w:type="character" w:styleId="IntenseEmphasis">
    <w:name w:val="Intense Emphasis"/>
    <w:basedOn w:val="DefaultParagraphFont"/>
    <w:uiPriority w:val="21"/>
    <w:qFormat/>
    <w:rsid w:val="00E239AD"/>
    <w:rPr>
      <w:i/>
      <w:iCs/>
      <w:color w:val="2F5496" w:themeColor="accent1" w:themeShade="BF"/>
    </w:rPr>
  </w:style>
  <w:style w:type="paragraph" w:styleId="IntenseQuote">
    <w:name w:val="Intense Quote"/>
    <w:basedOn w:val="Normal"/>
    <w:next w:val="Normal"/>
    <w:link w:val="IntenseQuoteChar"/>
    <w:uiPriority w:val="30"/>
    <w:qFormat/>
    <w:rsid w:val="00E239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239AD"/>
    <w:rPr>
      <w:i/>
      <w:iCs/>
      <w:color w:val="2F5496" w:themeColor="accent1" w:themeShade="BF"/>
    </w:rPr>
  </w:style>
  <w:style w:type="character" w:styleId="IntenseReference">
    <w:name w:val="Intense Reference"/>
    <w:basedOn w:val="DefaultParagraphFont"/>
    <w:uiPriority w:val="32"/>
    <w:qFormat/>
    <w:rsid w:val="00E239AD"/>
    <w:rPr>
      <w:b/>
      <w:bCs/>
      <w:smallCaps/>
      <w:color w:val="2F5496" w:themeColor="accent1" w:themeShade="BF"/>
      <w:spacing w:val="5"/>
    </w:rPr>
  </w:style>
  <w:style w:type="table" w:styleId="TableGrid">
    <w:name w:val="Table Grid"/>
    <w:basedOn w:val="TableNormal"/>
    <w:rsid w:val="005E1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103B"/>
    <w:rPr>
      <w:sz w:val="16"/>
      <w:szCs w:val="16"/>
    </w:rPr>
  </w:style>
  <w:style w:type="paragraph" w:styleId="CommentText">
    <w:name w:val="annotation text"/>
    <w:basedOn w:val="Normal"/>
    <w:link w:val="CommentTextChar"/>
    <w:uiPriority w:val="99"/>
    <w:unhideWhenUsed/>
    <w:rsid w:val="005E103B"/>
    <w:pPr>
      <w:spacing w:line="240" w:lineRule="auto"/>
    </w:pPr>
    <w:rPr>
      <w:sz w:val="20"/>
      <w:szCs w:val="20"/>
    </w:rPr>
  </w:style>
  <w:style w:type="character" w:customStyle="1" w:styleId="CommentTextChar">
    <w:name w:val="Comment Text Char"/>
    <w:basedOn w:val="DefaultParagraphFont"/>
    <w:link w:val="CommentText"/>
    <w:uiPriority w:val="99"/>
    <w:rsid w:val="005E103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237</TotalTime>
  <Pages>6</Pages>
  <Words>1455</Words>
  <Characters>8004</Characters>
  <Application>Microsoft Office Word</Application>
  <DocSecurity>0</DocSecurity>
  <Lines>66</Lines>
  <Paragraphs>18</Paragraphs>
  <ScaleCrop>false</ScaleCrop>
  <Company/>
  <LinksUpToDate>false</LinksUpToDate>
  <CharactersWithSpaces>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GHALEB Faroq Mohammed Hazaea</dc:creator>
  <cp:keywords/>
  <dc:description/>
  <cp:lastModifiedBy>HANGI Angel</cp:lastModifiedBy>
  <cp:revision>57</cp:revision>
  <dcterms:created xsi:type="dcterms:W3CDTF">2026-02-26T08:17:00Z</dcterms:created>
  <dcterms:modified xsi:type="dcterms:W3CDTF">2026-03-06T14:10:00Z</dcterms:modified>
</cp:coreProperties>
</file>